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D066" w14:textId="6E4F2A65" w:rsidR="0069313B" w:rsidRDefault="0069313B"/>
    <w:p w14:paraId="23C0DE66" w14:textId="79D87BA5" w:rsidR="0069313B" w:rsidRDefault="0069313B" w:rsidP="0069313B">
      <w:pPr>
        <w:jc w:val="right"/>
      </w:pPr>
    </w:p>
    <w:p w14:paraId="592A4C9D" w14:textId="46C9FA8D" w:rsidR="0069313B" w:rsidRDefault="0069313B" w:rsidP="0069313B">
      <w:pPr>
        <w:jc w:val="right"/>
      </w:pPr>
    </w:p>
    <w:p w14:paraId="0C1075B1" w14:textId="6E7FCD22" w:rsidR="0069313B" w:rsidRDefault="0069313B" w:rsidP="003575CD"/>
    <w:p w14:paraId="06484D19" w14:textId="2ED1A273" w:rsidR="00FE6FC2" w:rsidRDefault="00FE6FC2" w:rsidP="003575CD">
      <w:pPr>
        <w:rPr>
          <w:rFonts w:ascii="Arial" w:hAnsi="Arial" w:cs="Arial"/>
          <w:color w:val="000000"/>
          <w:sz w:val="22"/>
          <w:szCs w:val="22"/>
        </w:rPr>
      </w:pPr>
    </w:p>
    <w:p w14:paraId="489ADA78" w14:textId="26D4F746" w:rsidR="00FE6FC2" w:rsidRDefault="00FE6FC2" w:rsidP="003575CD">
      <w:pPr>
        <w:rPr>
          <w:rFonts w:ascii="Arial" w:hAnsi="Arial" w:cs="Arial"/>
          <w:color w:val="000000"/>
          <w:sz w:val="22"/>
          <w:szCs w:val="22"/>
        </w:rPr>
      </w:pPr>
    </w:p>
    <w:p w14:paraId="2B4FAC81" w14:textId="0D77684C" w:rsidR="00321DFC" w:rsidRPr="00066497" w:rsidRDefault="00321DFC" w:rsidP="00321DFC">
      <w:pPr>
        <w:spacing w:before="100" w:beforeAutospacing="1" w:after="100" w:afterAutospacing="1"/>
        <w:rPr>
          <w:rFonts w:ascii="Arial" w:eastAsia="Times New Roman" w:hAnsi="Arial" w:cs="Arial"/>
          <w:b/>
          <w:bCs/>
          <w:color w:val="000000"/>
          <w:sz w:val="22"/>
          <w:szCs w:val="22"/>
          <w:lang w:val="en-GB" w:eastAsia="en-GB"/>
        </w:rPr>
      </w:pPr>
      <w:r w:rsidRPr="00066497">
        <w:rPr>
          <w:rFonts w:ascii="Arial" w:eastAsia="Times New Roman" w:hAnsi="Arial" w:cs="Arial"/>
          <w:b/>
          <w:bCs/>
          <w:color w:val="000000"/>
          <w:sz w:val="22"/>
          <w:szCs w:val="22"/>
          <w:lang w:val="en-GB" w:eastAsia="en-GB"/>
        </w:rPr>
        <w:t>North London Forensic Collaborative Meaningful Activity Grant for Forensic Learning Disability and Autism Services</w:t>
      </w:r>
    </w:p>
    <w:p w14:paraId="2A99AA08" w14:textId="1D506ED4" w:rsidR="00321DFC" w:rsidRPr="00066497" w:rsidRDefault="00321DFC" w:rsidP="00321DFC">
      <w:pPr>
        <w:spacing w:before="100" w:beforeAutospacing="1" w:after="100" w:afterAutospacing="1"/>
        <w:rPr>
          <w:rFonts w:ascii="Arial" w:eastAsia="Times New Roman" w:hAnsi="Arial" w:cs="Arial"/>
          <w:color w:val="000000"/>
          <w:sz w:val="22"/>
          <w:szCs w:val="22"/>
          <w:lang w:val="en-GB" w:eastAsia="en-GB"/>
        </w:rPr>
      </w:pPr>
      <w:r w:rsidRPr="00066497">
        <w:rPr>
          <w:rFonts w:ascii="Arial" w:eastAsia="Times New Roman" w:hAnsi="Arial" w:cs="Arial"/>
          <w:color w:val="000000"/>
          <w:sz w:val="22"/>
          <w:szCs w:val="22"/>
          <w:lang w:val="en-GB" w:eastAsia="en-GB"/>
        </w:rPr>
        <w:t xml:space="preserve">North London Forensic Collaborative (NLFC) has launched a Meaningful Activity Grant for Forensic Learning Disability and </w:t>
      </w:r>
      <w:r w:rsidR="00066497">
        <w:rPr>
          <w:rFonts w:ascii="Arial" w:eastAsia="Times New Roman" w:hAnsi="Arial" w:cs="Arial"/>
          <w:color w:val="000000"/>
          <w:sz w:val="22"/>
          <w:szCs w:val="22"/>
          <w:lang w:val="en-GB" w:eastAsia="en-GB"/>
        </w:rPr>
        <w:t>F</w:t>
      </w:r>
      <w:r w:rsidRPr="00066497">
        <w:rPr>
          <w:rFonts w:ascii="Arial" w:eastAsia="Times New Roman" w:hAnsi="Arial" w:cs="Arial"/>
          <w:color w:val="000000"/>
          <w:sz w:val="22"/>
          <w:szCs w:val="22"/>
          <w:lang w:val="en-GB" w:eastAsia="en-GB"/>
        </w:rPr>
        <w:t xml:space="preserve">orensic </w:t>
      </w:r>
      <w:r w:rsidR="00066497">
        <w:rPr>
          <w:rFonts w:ascii="Arial" w:eastAsia="Times New Roman" w:hAnsi="Arial" w:cs="Arial"/>
          <w:color w:val="000000"/>
          <w:sz w:val="22"/>
          <w:szCs w:val="22"/>
          <w:lang w:val="en-GB" w:eastAsia="en-GB"/>
        </w:rPr>
        <w:t>A</w:t>
      </w:r>
      <w:r w:rsidRPr="00066497">
        <w:rPr>
          <w:rFonts w:ascii="Arial" w:eastAsia="Times New Roman" w:hAnsi="Arial" w:cs="Arial"/>
          <w:color w:val="000000"/>
          <w:sz w:val="22"/>
          <w:szCs w:val="22"/>
          <w:lang w:val="en-GB" w:eastAsia="en-GB"/>
        </w:rPr>
        <w:t>utism (LDA) services aimed at Voluntary, Community, Faith, and Social Enterprise (VCFSE) groups based in North London.</w:t>
      </w:r>
    </w:p>
    <w:p w14:paraId="641CAE39" w14:textId="04271EA0"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sz w:val="22"/>
          <w:szCs w:val="22"/>
          <w:lang w:val="en-GB"/>
        </w:rPr>
        <w:t>NLFC is the largest specialist forensic mental health provider collaborative in England and commissions and delivers adult secure inpatient and community services for the population of North London</w:t>
      </w:r>
      <w:r w:rsidR="00BD4905" w:rsidRPr="00066497">
        <w:rPr>
          <w:rFonts w:ascii="Arial" w:eastAsia="Calibri" w:hAnsi="Arial" w:cs="Arial"/>
          <w:sz w:val="22"/>
          <w:szCs w:val="22"/>
          <w:lang w:val="en-GB"/>
        </w:rPr>
        <w:t xml:space="preserve">. </w:t>
      </w:r>
      <w:r w:rsidRPr="00066497">
        <w:rPr>
          <w:rFonts w:ascii="Arial" w:eastAsia="Calibri" w:hAnsi="Arial" w:cs="Arial"/>
          <w:sz w:val="22"/>
          <w:szCs w:val="22"/>
          <w:lang w:val="en-GB"/>
        </w:rPr>
        <w:t>The Collaborative is formed of five NHS Trusts and one Independent Sector Provider</w:t>
      </w:r>
      <w:r w:rsidR="00BD4905" w:rsidRPr="00066497">
        <w:rPr>
          <w:rFonts w:ascii="Arial" w:eastAsia="Calibri" w:hAnsi="Arial" w:cs="Arial"/>
          <w:sz w:val="22"/>
          <w:szCs w:val="22"/>
          <w:lang w:val="en-GB"/>
        </w:rPr>
        <w:t xml:space="preserve">. </w:t>
      </w:r>
      <w:r w:rsidRPr="00066497">
        <w:rPr>
          <w:rFonts w:ascii="Arial" w:eastAsia="Calibri" w:hAnsi="Arial" w:cs="Arial"/>
          <w:sz w:val="22"/>
          <w:szCs w:val="22"/>
          <w:lang w:val="en-GB"/>
        </w:rPr>
        <w:t>North London NHS Foundation Trust is the Lead Provider.</w:t>
      </w:r>
    </w:p>
    <w:p w14:paraId="3B54BF30" w14:textId="3973483B"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sz w:val="22"/>
          <w:szCs w:val="22"/>
          <w:lang w:val="en-GB"/>
        </w:rPr>
        <w:t>NLFC delivers specialist adult secure forensic mental health services for people with a learning disability and autistic people</w:t>
      </w:r>
      <w:r w:rsidR="00BD4905" w:rsidRPr="00066497">
        <w:rPr>
          <w:rFonts w:ascii="Arial" w:eastAsia="Calibri" w:hAnsi="Arial" w:cs="Arial"/>
          <w:sz w:val="22"/>
          <w:szCs w:val="22"/>
          <w:lang w:val="en-GB"/>
        </w:rPr>
        <w:t xml:space="preserve">. </w:t>
      </w:r>
      <w:r w:rsidRPr="00066497">
        <w:rPr>
          <w:rFonts w:ascii="Arial" w:eastAsia="Calibri" w:hAnsi="Arial" w:cs="Arial"/>
          <w:sz w:val="22"/>
          <w:szCs w:val="22"/>
          <w:lang w:val="en-GB"/>
        </w:rPr>
        <w:t xml:space="preserve">There are approximately 100 people with a learning </w:t>
      </w:r>
      <w:r w:rsidR="00C14C9F" w:rsidRPr="00C14C9F">
        <w:rPr>
          <w:rFonts w:ascii="Arial" w:eastAsia="Calibri" w:hAnsi="Arial" w:cs="Arial"/>
          <w:sz w:val="22"/>
          <w:szCs w:val="22"/>
          <w:lang w:val="en-GB"/>
        </w:rPr>
        <w:t>disability</w:t>
      </w:r>
      <w:r w:rsidRPr="00066497">
        <w:rPr>
          <w:rFonts w:ascii="Arial" w:eastAsia="Calibri" w:hAnsi="Arial" w:cs="Arial"/>
          <w:sz w:val="22"/>
          <w:szCs w:val="22"/>
          <w:lang w:val="en-GB"/>
        </w:rPr>
        <w:t xml:space="preserve"> and/or autistic people using forensic services across inpatient and community </w:t>
      </w:r>
      <w:r w:rsidR="00066497" w:rsidRPr="00066497">
        <w:rPr>
          <w:rFonts w:ascii="Arial" w:eastAsia="Calibri" w:hAnsi="Arial" w:cs="Arial"/>
          <w:sz w:val="22"/>
          <w:szCs w:val="22"/>
          <w:lang w:val="en-GB"/>
        </w:rPr>
        <w:t>settings</w:t>
      </w:r>
      <w:r w:rsidR="00BD4905" w:rsidRPr="00066497">
        <w:rPr>
          <w:rFonts w:ascii="Arial" w:eastAsia="Calibri" w:hAnsi="Arial" w:cs="Arial"/>
          <w:sz w:val="22"/>
          <w:szCs w:val="22"/>
          <w:lang w:val="en-GB"/>
        </w:rPr>
        <w:t xml:space="preserve">. </w:t>
      </w:r>
      <w:r w:rsidRPr="00066497">
        <w:rPr>
          <w:rFonts w:ascii="Arial" w:eastAsia="Calibri" w:hAnsi="Arial" w:cs="Arial"/>
          <w:sz w:val="22"/>
          <w:szCs w:val="22"/>
          <w:lang w:val="en-GB"/>
        </w:rPr>
        <w:t>The current provision includes five specialist wards based within Chase Farm Hospital (BEH) and the John Howard Centre (ELFT), and three Community Forensic Learning Disability Teams (CFLDT’s) operating across the three Integrated Care Systems (ICS) in North East London (NEL), North West London (NWL) and North Central London (NCL)</w:t>
      </w:r>
      <w:r w:rsidR="00BD4905" w:rsidRPr="00066497">
        <w:rPr>
          <w:rFonts w:ascii="Arial" w:eastAsia="Calibri" w:hAnsi="Arial" w:cs="Arial"/>
          <w:sz w:val="22"/>
          <w:szCs w:val="22"/>
          <w:lang w:val="en-GB"/>
        </w:rPr>
        <w:t xml:space="preserve">. </w:t>
      </w:r>
    </w:p>
    <w:p w14:paraId="3D375F4B" w14:textId="76CD0378"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sz w:val="22"/>
          <w:szCs w:val="22"/>
          <w:lang w:val="en-GB"/>
        </w:rPr>
        <w:t>Addressing inequalities in access, experience, and outcomes for the people who use forensic services, reducing reliance on inpatient beds and ensuring services meets the needs of the people who use them are key priorities for NLFC</w:t>
      </w:r>
      <w:r w:rsidR="00BD4905" w:rsidRPr="00066497">
        <w:rPr>
          <w:rFonts w:ascii="Arial" w:eastAsia="Calibri" w:hAnsi="Arial" w:cs="Arial"/>
          <w:sz w:val="22"/>
          <w:szCs w:val="22"/>
          <w:lang w:val="en-GB"/>
        </w:rPr>
        <w:t xml:space="preserve">. </w:t>
      </w:r>
      <w:r w:rsidRPr="00066497">
        <w:rPr>
          <w:rFonts w:ascii="Arial" w:eastAsia="Calibri" w:hAnsi="Arial" w:cs="Arial"/>
          <w:sz w:val="22"/>
          <w:szCs w:val="22"/>
          <w:lang w:val="en-GB"/>
        </w:rPr>
        <w:t>Good provision of meaningful activities that focus on the development of life skills and promote recovery and wellbeing are evidenced to support timely discharge, support people to live well in the community and reduce likelihood of readmission</w:t>
      </w:r>
      <w:r w:rsidR="00BD4905" w:rsidRPr="00066497">
        <w:rPr>
          <w:rFonts w:ascii="Arial" w:eastAsia="Calibri" w:hAnsi="Arial" w:cs="Arial"/>
          <w:sz w:val="22"/>
          <w:szCs w:val="22"/>
          <w:lang w:val="en-GB"/>
        </w:rPr>
        <w:t xml:space="preserve">. </w:t>
      </w:r>
    </w:p>
    <w:p w14:paraId="08B2923F" w14:textId="676B548A"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color w:val="000000"/>
          <w:sz w:val="22"/>
          <w:szCs w:val="22"/>
          <w:lang w:val="en-GB"/>
        </w:rPr>
        <w:t xml:space="preserve">NLFC recognises the </w:t>
      </w:r>
      <w:r w:rsidRPr="00066497">
        <w:rPr>
          <w:rFonts w:ascii="Arial" w:eastAsia="Calibri" w:hAnsi="Arial" w:cs="Arial"/>
          <w:sz w:val="22"/>
          <w:szCs w:val="22"/>
          <w:lang w:val="en-GB"/>
        </w:rPr>
        <w:t>expertise VCFSE organisations have in working with marginalised communities and the positive impact this has on improving wellbeing, reducing social isolation and promoting sustained recovery</w:t>
      </w:r>
      <w:r w:rsidR="00BD4905" w:rsidRPr="00066497">
        <w:rPr>
          <w:rFonts w:ascii="Arial" w:eastAsia="Calibri" w:hAnsi="Arial" w:cs="Arial"/>
          <w:sz w:val="22"/>
          <w:szCs w:val="22"/>
          <w:lang w:val="en-GB"/>
        </w:rPr>
        <w:t xml:space="preserve">. </w:t>
      </w:r>
    </w:p>
    <w:p w14:paraId="104F8555" w14:textId="0D4E5A26"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color w:val="000000"/>
          <w:sz w:val="22"/>
          <w:szCs w:val="22"/>
          <w:lang w:val="en-GB"/>
        </w:rPr>
        <w:t>The delivery of the NLFC Meaningful Activities Grant for Forensic Learning Disability and Autism services will provide an opportunity for NLFC to work in collaboration with VCFSE organisations to offer and deliver a range of meaningful activities to people using these services</w:t>
      </w:r>
      <w:r w:rsidR="00BD4905" w:rsidRPr="00066497">
        <w:rPr>
          <w:rFonts w:ascii="Arial" w:eastAsia="Calibri" w:hAnsi="Arial" w:cs="Arial"/>
          <w:color w:val="000000"/>
          <w:sz w:val="22"/>
          <w:szCs w:val="22"/>
          <w:lang w:val="en-GB"/>
        </w:rPr>
        <w:t xml:space="preserve">. </w:t>
      </w:r>
    </w:p>
    <w:p w14:paraId="170AE40A" w14:textId="45FE7A1D" w:rsidR="00321DFC" w:rsidRDefault="00321DFC" w:rsidP="00321DFC">
      <w:pPr>
        <w:spacing w:after="160" w:line="259" w:lineRule="auto"/>
        <w:rPr>
          <w:rFonts w:ascii="Arial" w:eastAsia="Calibri" w:hAnsi="Arial" w:cs="Arial"/>
          <w:b/>
          <w:bCs/>
          <w:sz w:val="22"/>
          <w:szCs w:val="22"/>
          <w:lang w:val="en-GB"/>
        </w:rPr>
      </w:pPr>
    </w:p>
    <w:p w14:paraId="4E9F7636" w14:textId="0B6DAC54" w:rsidR="00321DFC" w:rsidRDefault="00321DFC" w:rsidP="00321DFC">
      <w:pPr>
        <w:spacing w:after="160" w:line="259" w:lineRule="auto"/>
        <w:rPr>
          <w:rFonts w:ascii="Arial" w:eastAsia="Calibri" w:hAnsi="Arial" w:cs="Arial"/>
          <w:b/>
          <w:bCs/>
          <w:sz w:val="22"/>
          <w:szCs w:val="22"/>
          <w:lang w:val="en-GB"/>
        </w:rPr>
      </w:pPr>
    </w:p>
    <w:p w14:paraId="0978CC4A" w14:textId="0EE85E82" w:rsidR="00321DFC" w:rsidRDefault="00321DFC" w:rsidP="00321DFC">
      <w:pPr>
        <w:spacing w:after="160" w:line="259" w:lineRule="auto"/>
        <w:rPr>
          <w:rFonts w:ascii="Arial" w:eastAsia="Calibri" w:hAnsi="Arial" w:cs="Arial"/>
          <w:b/>
          <w:bCs/>
          <w:sz w:val="22"/>
          <w:szCs w:val="22"/>
          <w:lang w:val="en-GB"/>
        </w:rPr>
      </w:pPr>
    </w:p>
    <w:p w14:paraId="037E5767" w14:textId="6CBE3A6A" w:rsidR="00321DFC" w:rsidRDefault="00321DFC" w:rsidP="00321DFC">
      <w:pPr>
        <w:spacing w:after="160" w:line="259" w:lineRule="auto"/>
        <w:rPr>
          <w:rFonts w:ascii="Arial" w:eastAsia="Calibri" w:hAnsi="Arial" w:cs="Arial"/>
          <w:b/>
          <w:bCs/>
          <w:sz w:val="22"/>
          <w:szCs w:val="22"/>
          <w:lang w:val="en-GB"/>
        </w:rPr>
      </w:pPr>
    </w:p>
    <w:p w14:paraId="58D3F23C" w14:textId="77777777" w:rsidR="00321DFC" w:rsidRPr="00066497" w:rsidRDefault="00321DFC" w:rsidP="00321DFC">
      <w:pPr>
        <w:spacing w:after="160" w:line="259" w:lineRule="auto"/>
        <w:rPr>
          <w:rFonts w:ascii="Arial" w:eastAsia="Calibri" w:hAnsi="Arial" w:cs="Arial"/>
          <w:b/>
          <w:bCs/>
          <w:sz w:val="22"/>
          <w:szCs w:val="22"/>
          <w:lang w:val="en-GB"/>
        </w:rPr>
      </w:pPr>
    </w:p>
    <w:p w14:paraId="7F883752" w14:textId="77777777" w:rsidR="00321DFC" w:rsidRDefault="00321DFC" w:rsidP="00321DFC">
      <w:pPr>
        <w:spacing w:after="160" w:line="259" w:lineRule="auto"/>
        <w:rPr>
          <w:rFonts w:ascii="Arial" w:eastAsia="Calibri" w:hAnsi="Arial" w:cs="Arial"/>
          <w:b/>
          <w:bCs/>
          <w:sz w:val="22"/>
          <w:szCs w:val="22"/>
          <w:lang w:val="en-GB"/>
        </w:rPr>
      </w:pPr>
    </w:p>
    <w:p w14:paraId="538EF2D4" w14:textId="77777777" w:rsidR="00321DFC" w:rsidRDefault="00321DFC" w:rsidP="00321DFC">
      <w:pPr>
        <w:spacing w:after="160" w:line="259" w:lineRule="auto"/>
        <w:rPr>
          <w:rFonts w:ascii="Arial" w:eastAsia="Calibri" w:hAnsi="Arial" w:cs="Arial"/>
          <w:b/>
          <w:bCs/>
          <w:sz w:val="22"/>
          <w:szCs w:val="22"/>
          <w:lang w:val="en-GB"/>
        </w:rPr>
      </w:pPr>
    </w:p>
    <w:p w14:paraId="6BDFD61B" w14:textId="77777777" w:rsidR="00321DFC" w:rsidRDefault="00321DFC" w:rsidP="00321DFC">
      <w:pPr>
        <w:spacing w:after="160" w:line="259" w:lineRule="auto"/>
        <w:rPr>
          <w:rFonts w:ascii="Arial" w:eastAsia="Calibri" w:hAnsi="Arial" w:cs="Arial"/>
          <w:b/>
          <w:bCs/>
          <w:sz w:val="22"/>
          <w:szCs w:val="22"/>
          <w:lang w:val="en-GB"/>
        </w:rPr>
      </w:pPr>
    </w:p>
    <w:p w14:paraId="4B9EF217" w14:textId="77777777" w:rsidR="00066497" w:rsidRDefault="00066497" w:rsidP="00321DFC">
      <w:pPr>
        <w:spacing w:after="160" w:line="259" w:lineRule="auto"/>
        <w:rPr>
          <w:rFonts w:ascii="Arial" w:eastAsia="Calibri" w:hAnsi="Arial" w:cs="Arial"/>
          <w:b/>
          <w:bCs/>
          <w:sz w:val="22"/>
          <w:szCs w:val="22"/>
          <w:lang w:val="en-GB"/>
        </w:rPr>
      </w:pPr>
    </w:p>
    <w:p w14:paraId="55BAD37C" w14:textId="37A838FC" w:rsidR="00321DFC" w:rsidRPr="00066497" w:rsidRDefault="00321DFC" w:rsidP="00321DFC">
      <w:pPr>
        <w:spacing w:after="160" w:line="259" w:lineRule="auto"/>
        <w:rPr>
          <w:rFonts w:ascii="Arial" w:eastAsia="Calibri" w:hAnsi="Arial" w:cs="Arial"/>
          <w:b/>
          <w:bCs/>
          <w:sz w:val="22"/>
          <w:szCs w:val="22"/>
          <w:lang w:val="en-GB"/>
        </w:rPr>
      </w:pPr>
      <w:r w:rsidRPr="00066497">
        <w:rPr>
          <w:rFonts w:ascii="Arial" w:eastAsia="Calibri" w:hAnsi="Arial" w:cs="Arial"/>
          <w:b/>
          <w:bCs/>
          <w:sz w:val="22"/>
          <w:szCs w:val="22"/>
          <w:lang w:val="en-GB"/>
        </w:rPr>
        <w:t>Grant Amount</w:t>
      </w:r>
    </w:p>
    <w:p w14:paraId="07E1A64B" w14:textId="5378959C" w:rsidR="00321DFC" w:rsidRPr="00066497" w:rsidRDefault="00321DFC" w:rsidP="00321DFC">
      <w:pPr>
        <w:spacing w:after="160" w:line="259" w:lineRule="auto"/>
        <w:rPr>
          <w:rFonts w:ascii="Arial" w:eastAsia="Calibri" w:hAnsi="Arial" w:cs="Arial"/>
          <w:sz w:val="22"/>
          <w:szCs w:val="22"/>
          <w:lang w:val="en-GB"/>
        </w:rPr>
      </w:pPr>
      <w:r w:rsidRPr="00066497">
        <w:rPr>
          <w:rFonts w:ascii="Arial" w:eastAsia="Calibri" w:hAnsi="Arial" w:cs="Arial"/>
          <w:sz w:val="22"/>
          <w:szCs w:val="22"/>
          <w:lang w:val="en-GB"/>
        </w:rPr>
        <w:t>The grant amount ranges between £1,000 – £9,999</w:t>
      </w:r>
    </w:p>
    <w:p w14:paraId="108CE6C5" w14:textId="77777777" w:rsidR="007537AF" w:rsidRDefault="007537AF" w:rsidP="00321DFC">
      <w:pPr>
        <w:spacing w:after="160" w:line="259" w:lineRule="auto"/>
        <w:rPr>
          <w:rFonts w:ascii="Arial" w:eastAsia="Calibri" w:hAnsi="Arial" w:cs="Arial"/>
          <w:b/>
          <w:bCs/>
          <w:sz w:val="22"/>
          <w:szCs w:val="22"/>
          <w:lang w:val="en-GB"/>
        </w:rPr>
      </w:pPr>
    </w:p>
    <w:p w14:paraId="4EABA5DD" w14:textId="064141FB" w:rsidR="00321DFC" w:rsidRPr="00066497" w:rsidRDefault="00321DFC" w:rsidP="00321DFC">
      <w:pPr>
        <w:spacing w:after="160" w:line="259" w:lineRule="auto"/>
        <w:rPr>
          <w:rFonts w:ascii="Arial" w:eastAsia="Calibri" w:hAnsi="Arial" w:cs="Arial"/>
          <w:b/>
          <w:bCs/>
          <w:sz w:val="22"/>
          <w:szCs w:val="22"/>
          <w:lang w:val="en-GB"/>
        </w:rPr>
      </w:pPr>
      <w:r w:rsidRPr="00066497">
        <w:rPr>
          <w:rFonts w:ascii="Arial" w:eastAsia="Calibri" w:hAnsi="Arial" w:cs="Arial"/>
          <w:b/>
          <w:bCs/>
          <w:sz w:val="22"/>
          <w:szCs w:val="22"/>
          <w:lang w:val="en-GB"/>
        </w:rPr>
        <w:t>Who Can Apply</w:t>
      </w:r>
    </w:p>
    <w:p w14:paraId="2A06EB86" w14:textId="087DC9F8" w:rsidR="00321DFC" w:rsidRDefault="00321DFC" w:rsidP="00321DFC">
      <w:pPr>
        <w:numPr>
          <w:ilvl w:val="0"/>
          <w:numId w:val="5"/>
        </w:numPr>
        <w:spacing w:after="160" w:line="259" w:lineRule="auto"/>
        <w:contextualSpacing/>
        <w:rPr>
          <w:rFonts w:ascii="Arial" w:eastAsia="Calibri" w:hAnsi="Arial" w:cs="Arial"/>
          <w:sz w:val="22"/>
          <w:szCs w:val="22"/>
          <w:lang w:val="en-GB"/>
        </w:rPr>
      </w:pPr>
      <w:r w:rsidRPr="00066497">
        <w:rPr>
          <w:rFonts w:ascii="Arial" w:eastAsia="Calibri" w:hAnsi="Arial" w:cs="Arial"/>
          <w:sz w:val="22"/>
          <w:szCs w:val="22"/>
          <w:lang w:val="en-GB"/>
        </w:rPr>
        <w:t>Any VCFSE organisation based in North London that currently operates within one of the ICS regions (NEL/NWL/NCL) in the following boroughs:</w:t>
      </w:r>
    </w:p>
    <w:p w14:paraId="5CB9DD9F" w14:textId="77777777" w:rsidR="007537AF" w:rsidRPr="00066497" w:rsidRDefault="007537AF" w:rsidP="007537AF">
      <w:pPr>
        <w:spacing w:after="160" w:line="259" w:lineRule="auto"/>
        <w:ind w:left="720"/>
        <w:contextualSpacing/>
        <w:rPr>
          <w:rFonts w:ascii="Arial" w:eastAsia="Calibri" w:hAnsi="Arial" w:cs="Arial"/>
          <w:sz w:val="22"/>
          <w:szCs w:val="22"/>
          <w:lang w:val="en-GB"/>
        </w:rPr>
      </w:pPr>
    </w:p>
    <w:tbl>
      <w:tblPr>
        <w:tblW w:w="0" w:type="auto"/>
        <w:tblInd w:w="725" w:type="dxa"/>
        <w:tblLook w:val="04A0" w:firstRow="1" w:lastRow="0" w:firstColumn="1" w:lastColumn="0" w:noHBand="0" w:noVBand="1"/>
      </w:tblPr>
      <w:tblGrid>
        <w:gridCol w:w="4133"/>
        <w:gridCol w:w="4168"/>
      </w:tblGrid>
      <w:tr w:rsidR="00321DFC" w:rsidRPr="00321DFC" w14:paraId="1D5ACFB7" w14:textId="77777777" w:rsidTr="002A50C9">
        <w:tc>
          <w:tcPr>
            <w:tcW w:w="4135" w:type="dxa"/>
            <w:shd w:val="clear" w:color="auto" w:fill="auto"/>
          </w:tcPr>
          <w:p w14:paraId="66863E28"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Barking &amp; Dagenham</w:t>
            </w:r>
          </w:p>
        </w:tc>
        <w:tc>
          <w:tcPr>
            <w:tcW w:w="4171" w:type="dxa"/>
            <w:shd w:val="clear" w:color="auto" w:fill="auto"/>
          </w:tcPr>
          <w:p w14:paraId="470B7380"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Havering</w:t>
            </w:r>
          </w:p>
        </w:tc>
      </w:tr>
      <w:tr w:rsidR="00321DFC" w:rsidRPr="00321DFC" w14:paraId="6421D150" w14:textId="77777777" w:rsidTr="002A50C9">
        <w:tc>
          <w:tcPr>
            <w:tcW w:w="4135" w:type="dxa"/>
            <w:shd w:val="clear" w:color="auto" w:fill="auto"/>
          </w:tcPr>
          <w:p w14:paraId="3FDF6DA2"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Barnet</w:t>
            </w:r>
          </w:p>
        </w:tc>
        <w:tc>
          <w:tcPr>
            <w:tcW w:w="4171" w:type="dxa"/>
            <w:shd w:val="clear" w:color="auto" w:fill="auto"/>
          </w:tcPr>
          <w:p w14:paraId="797DA4A2"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Hillingdon</w:t>
            </w:r>
          </w:p>
        </w:tc>
      </w:tr>
      <w:tr w:rsidR="00321DFC" w:rsidRPr="00321DFC" w14:paraId="34092268" w14:textId="77777777" w:rsidTr="002A50C9">
        <w:tc>
          <w:tcPr>
            <w:tcW w:w="4135" w:type="dxa"/>
            <w:shd w:val="clear" w:color="auto" w:fill="auto"/>
          </w:tcPr>
          <w:p w14:paraId="0067CAA6"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 xml:space="preserve">Brent </w:t>
            </w:r>
          </w:p>
        </w:tc>
        <w:tc>
          <w:tcPr>
            <w:tcW w:w="4171" w:type="dxa"/>
            <w:shd w:val="clear" w:color="auto" w:fill="auto"/>
          </w:tcPr>
          <w:p w14:paraId="28D5FAF4"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Hounslow</w:t>
            </w:r>
          </w:p>
        </w:tc>
      </w:tr>
      <w:tr w:rsidR="00321DFC" w:rsidRPr="00321DFC" w14:paraId="680EE672" w14:textId="77777777" w:rsidTr="002A50C9">
        <w:tc>
          <w:tcPr>
            <w:tcW w:w="4135" w:type="dxa"/>
            <w:shd w:val="clear" w:color="auto" w:fill="auto"/>
          </w:tcPr>
          <w:p w14:paraId="5D79C7BF"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Camden</w:t>
            </w:r>
          </w:p>
        </w:tc>
        <w:tc>
          <w:tcPr>
            <w:tcW w:w="4171" w:type="dxa"/>
            <w:shd w:val="clear" w:color="auto" w:fill="auto"/>
          </w:tcPr>
          <w:p w14:paraId="23F0CDAB"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Islington</w:t>
            </w:r>
          </w:p>
        </w:tc>
      </w:tr>
      <w:tr w:rsidR="00321DFC" w:rsidRPr="00321DFC" w14:paraId="2E41D88B" w14:textId="77777777" w:rsidTr="002A50C9">
        <w:tc>
          <w:tcPr>
            <w:tcW w:w="4135" w:type="dxa"/>
            <w:shd w:val="clear" w:color="auto" w:fill="auto"/>
          </w:tcPr>
          <w:p w14:paraId="1EAB8EA4"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City &amp; Hackney</w:t>
            </w:r>
          </w:p>
        </w:tc>
        <w:tc>
          <w:tcPr>
            <w:tcW w:w="4171" w:type="dxa"/>
            <w:shd w:val="clear" w:color="auto" w:fill="auto"/>
          </w:tcPr>
          <w:p w14:paraId="368BDA48"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Kensington and Chelsea</w:t>
            </w:r>
          </w:p>
        </w:tc>
      </w:tr>
      <w:tr w:rsidR="00321DFC" w:rsidRPr="00321DFC" w14:paraId="71F54879" w14:textId="77777777" w:rsidTr="002A50C9">
        <w:trPr>
          <w:trHeight w:val="397"/>
        </w:trPr>
        <w:tc>
          <w:tcPr>
            <w:tcW w:w="4135" w:type="dxa"/>
            <w:shd w:val="clear" w:color="auto" w:fill="auto"/>
          </w:tcPr>
          <w:p w14:paraId="2F1D24EA"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Ealing</w:t>
            </w:r>
          </w:p>
        </w:tc>
        <w:tc>
          <w:tcPr>
            <w:tcW w:w="4171" w:type="dxa"/>
            <w:shd w:val="clear" w:color="auto" w:fill="auto"/>
          </w:tcPr>
          <w:p w14:paraId="0C1DE560"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Newham</w:t>
            </w:r>
          </w:p>
        </w:tc>
      </w:tr>
      <w:tr w:rsidR="00321DFC" w:rsidRPr="00321DFC" w14:paraId="685F8345" w14:textId="77777777" w:rsidTr="002A50C9">
        <w:trPr>
          <w:trHeight w:val="441"/>
        </w:trPr>
        <w:tc>
          <w:tcPr>
            <w:tcW w:w="4135" w:type="dxa"/>
            <w:shd w:val="clear" w:color="auto" w:fill="auto"/>
          </w:tcPr>
          <w:p w14:paraId="69EA376D"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Enfield</w:t>
            </w:r>
          </w:p>
        </w:tc>
        <w:tc>
          <w:tcPr>
            <w:tcW w:w="4171" w:type="dxa"/>
            <w:shd w:val="clear" w:color="auto" w:fill="auto"/>
          </w:tcPr>
          <w:p w14:paraId="595D38F9"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Redbridge</w:t>
            </w:r>
          </w:p>
        </w:tc>
      </w:tr>
      <w:tr w:rsidR="00321DFC" w:rsidRPr="00321DFC" w14:paraId="1D5A39B9" w14:textId="77777777" w:rsidTr="002A50C9">
        <w:tc>
          <w:tcPr>
            <w:tcW w:w="4135" w:type="dxa"/>
            <w:shd w:val="clear" w:color="auto" w:fill="auto"/>
          </w:tcPr>
          <w:p w14:paraId="333BCD9A" w14:textId="77777777" w:rsidR="00321DFC" w:rsidRPr="00066497" w:rsidRDefault="00321DFC" w:rsidP="00321DFC">
            <w:pPr>
              <w:shd w:val="clear" w:color="auto" w:fill="FFFFFF"/>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Hackney</w:t>
            </w:r>
          </w:p>
        </w:tc>
        <w:tc>
          <w:tcPr>
            <w:tcW w:w="4171" w:type="dxa"/>
            <w:shd w:val="clear" w:color="auto" w:fill="auto"/>
          </w:tcPr>
          <w:p w14:paraId="184B5721"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Tower Hamlets</w:t>
            </w:r>
          </w:p>
        </w:tc>
      </w:tr>
      <w:tr w:rsidR="00321DFC" w:rsidRPr="00321DFC" w14:paraId="788E43AC" w14:textId="77777777" w:rsidTr="002A50C9">
        <w:tc>
          <w:tcPr>
            <w:tcW w:w="4135" w:type="dxa"/>
            <w:shd w:val="clear" w:color="auto" w:fill="auto"/>
          </w:tcPr>
          <w:p w14:paraId="2965328B"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Hammersmith &amp; Fulham</w:t>
            </w:r>
          </w:p>
        </w:tc>
        <w:tc>
          <w:tcPr>
            <w:tcW w:w="4171" w:type="dxa"/>
            <w:shd w:val="clear" w:color="auto" w:fill="auto"/>
          </w:tcPr>
          <w:p w14:paraId="2A50CB26"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 xml:space="preserve">Waltham Forest </w:t>
            </w:r>
          </w:p>
        </w:tc>
      </w:tr>
      <w:tr w:rsidR="00321DFC" w:rsidRPr="00321DFC" w14:paraId="6A8E55D5" w14:textId="77777777" w:rsidTr="002A50C9">
        <w:tc>
          <w:tcPr>
            <w:tcW w:w="4135" w:type="dxa"/>
            <w:shd w:val="clear" w:color="auto" w:fill="auto"/>
          </w:tcPr>
          <w:p w14:paraId="04C719A5"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Haringey</w:t>
            </w:r>
          </w:p>
        </w:tc>
        <w:tc>
          <w:tcPr>
            <w:tcW w:w="4171" w:type="dxa"/>
            <w:shd w:val="clear" w:color="auto" w:fill="auto"/>
          </w:tcPr>
          <w:p w14:paraId="652F81AA"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Westminster</w:t>
            </w:r>
          </w:p>
        </w:tc>
      </w:tr>
      <w:tr w:rsidR="00321DFC" w:rsidRPr="00321DFC" w14:paraId="222E6B84" w14:textId="77777777" w:rsidTr="002A50C9">
        <w:tc>
          <w:tcPr>
            <w:tcW w:w="4135" w:type="dxa"/>
            <w:shd w:val="clear" w:color="auto" w:fill="auto"/>
          </w:tcPr>
          <w:p w14:paraId="717FCEFA"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r w:rsidRPr="00066497">
              <w:rPr>
                <w:rFonts w:ascii="Arial" w:eastAsia="Times New Roman" w:hAnsi="Arial" w:cs="Arial"/>
                <w:color w:val="333333"/>
                <w:sz w:val="22"/>
                <w:szCs w:val="22"/>
                <w:lang w:val="en-GB" w:eastAsia="en-GB"/>
              </w:rPr>
              <w:t>Harrow</w:t>
            </w:r>
          </w:p>
        </w:tc>
        <w:tc>
          <w:tcPr>
            <w:tcW w:w="4171" w:type="dxa"/>
            <w:shd w:val="clear" w:color="auto" w:fill="auto"/>
          </w:tcPr>
          <w:p w14:paraId="4F343DA9" w14:textId="77777777" w:rsidR="00321DFC" w:rsidRPr="00066497" w:rsidRDefault="00321DFC" w:rsidP="00321DFC">
            <w:pPr>
              <w:shd w:val="clear" w:color="auto" w:fill="FFFFFF"/>
              <w:spacing w:after="150"/>
              <w:rPr>
                <w:rFonts w:ascii="Arial" w:eastAsia="Times New Roman" w:hAnsi="Arial" w:cs="Arial"/>
                <w:color w:val="333333"/>
                <w:sz w:val="22"/>
                <w:szCs w:val="22"/>
                <w:lang w:val="en-GB" w:eastAsia="en-GB"/>
              </w:rPr>
            </w:pPr>
          </w:p>
        </w:tc>
      </w:tr>
    </w:tbl>
    <w:p w14:paraId="69DF68BD" w14:textId="77777777" w:rsidR="00321DFC" w:rsidRPr="00066497" w:rsidRDefault="00321DFC" w:rsidP="00321DFC">
      <w:pPr>
        <w:spacing w:after="160" w:line="259" w:lineRule="auto"/>
        <w:contextualSpacing/>
        <w:rPr>
          <w:rFonts w:ascii="Arial" w:eastAsia="Calibri" w:hAnsi="Arial" w:cs="Arial"/>
          <w:sz w:val="22"/>
          <w:szCs w:val="22"/>
          <w:lang w:val="en-GB"/>
        </w:rPr>
      </w:pPr>
    </w:p>
    <w:p w14:paraId="3AC206EF" w14:textId="30DA3662" w:rsidR="00321DFC" w:rsidRPr="00066497" w:rsidRDefault="00321DFC" w:rsidP="00321DFC">
      <w:pPr>
        <w:numPr>
          <w:ilvl w:val="0"/>
          <w:numId w:val="5"/>
        </w:numPr>
        <w:spacing w:after="160" w:line="259" w:lineRule="auto"/>
        <w:contextualSpacing/>
        <w:rPr>
          <w:rFonts w:ascii="Arial" w:eastAsia="Calibri" w:hAnsi="Arial" w:cs="Arial"/>
          <w:sz w:val="22"/>
          <w:szCs w:val="22"/>
          <w:lang w:val="en-GB"/>
        </w:rPr>
      </w:pPr>
      <w:r w:rsidRPr="00066497">
        <w:rPr>
          <w:rFonts w:ascii="Arial" w:eastAsia="Calibri" w:hAnsi="Arial" w:cs="Arial"/>
          <w:sz w:val="22"/>
          <w:szCs w:val="22"/>
          <w:lang w:val="en-GB"/>
        </w:rPr>
        <w:t>Organisations currently working with people using</w:t>
      </w:r>
      <w:r w:rsidR="00D4632C">
        <w:rPr>
          <w:rFonts w:ascii="Arial" w:eastAsia="Calibri" w:hAnsi="Arial" w:cs="Arial"/>
          <w:sz w:val="22"/>
          <w:szCs w:val="22"/>
          <w:lang w:val="en-GB"/>
        </w:rPr>
        <w:t xml:space="preserve"> </w:t>
      </w:r>
      <w:r w:rsidRPr="00066497">
        <w:rPr>
          <w:rFonts w:ascii="Arial" w:eastAsia="Calibri" w:hAnsi="Arial" w:cs="Arial"/>
          <w:sz w:val="22"/>
          <w:szCs w:val="22"/>
          <w:lang w:val="en-GB"/>
        </w:rPr>
        <w:t>NHS inpatient or community forensic mental health services and would benefit from additional investment to scale up the existing offer, or to further develop projects for people with learning disabilities or autistic people.</w:t>
      </w:r>
      <w:r w:rsidR="00D4632C">
        <w:rPr>
          <w:rFonts w:ascii="Arial" w:eastAsia="Calibri" w:hAnsi="Arial" w:cs="Arial"/>
          <w:sz w:val="22"/>
          <w:szCs w:val="22"/>
          <w:lang w:val="en-GB"/>
        </w:rPr>
        <w:t xml:space="preserve"> </w:t>
      </w:r>
      <w:r w:rsidR="00066497" w:rsidRPr="00066497">
        <w:rPr>
          <w:rFonts w:ascii="Arial" w:eastAsia="Calibri" w:hAnsi="Arial" w:cs="Arial"/>
          <w:sz w:val="22"/>
          <w:szCs w:val="22"/>
          <w:lang w:val="en-GB"/>
        </w:rPr>
        <w:t>This</w:t>
      </w:r>
      <w:r w:rsidRPr="00066497">
        <w:rPr>
          <w:rFonts w:ascii="Arial" w:eastAsia="Calibri" w:hAnsi="Arial" w:cs="Arial"/>
          <w:sz w:val="22"/>
          <w:szCs w:val="22"/>
          <w:lang w:val="en-GB"/>
        </w:rPr>
        <w:t xml:space="preserve"> can include organisations working in other neighbouring boroughs to those listed in the table</w:t>
      </w:r>
      <w:r w:rsidR="00D4632C">
        <w:rPr>
          <w:rFonts w:ascii="Arial" w:eastAsia="Calibri" w:hAnsi="Arial" w:cs="Arial"/>
          <w:sz w:val="22"/>
          <w:szCs w:val="22"/>
          <w:lang w:val="en-GB"/>
        </w:rPr>
        <w:t xml:space="preserve"> </w:t>
      </w:r>
      <w:r w:rsidRPr="00066497">
        <w:rPr>
          <w:rFonts w:ascii="Arial" w:eastAsia="Calibri" w:hAnsi="Arial" w:cs="Arial"/>
          <w:sz w:val="22"/>
          <w:szCs w:val="22"/>
          <w:lang w:val="en-GB"/>
        </w:rPr>
        <w:t>above, who would like to extend service provision to North London boroughs.</w:t>
      </w:r>
    </w:p>
    <w:p w14:paraId="4090C45C" w14:textId="77777777" w:rsidR="00321DFC" w:rsidRPr="00066497" w:rsidRDefault="00321DFC" w:rsidP="00321DFC">
      <w:pPr>
        <w:spacing w:after="160" w:line="259" w:lineRule="auto"/>
        <w:ind w:left="720"/>
        <w:contextualSpacing/>
        <w:rPr>
          <w:rFonts w:ascii="Arial" w:eastAsia="Calibri" w:hAnsi="Arial" w:cs="Arial"/>
          <w:sz w:val="22"/>
          <w:szCs w:val="22"/>
          <w:lang w:val="en-GB"/>
        </w:rPr>
      </w:pPr>
    </w:p>
    <w:p w14:paraId="0CC9C67B" w14:textId="45CFD7F4" w:rsidR="00321DFC" w:rsidRPr="00066497" w:rsidRDefault="00321DFC" w:rsidP="00321DFC">
      <w:pPr>
        <w:numPr>
          <w:ilvl w:val="0"/>
          <w:numId w:val="5"/>
        </w:numPr>
        <w:spacing w:after="160" w:line="259" w:lineRule="auto"/>
        <w:contextualSpacing/>
        <w:rPr>
          <w:rFonts w:ascii="Arial" w:eastAsia="Calibri" w:hAnsi="Arial" w:cs="Arial"/>
          <w:sz w:val="22"/>
          <w:szCs w:val="22"/>
          <w:lang w:val="en-GB"/>
        </w:rPr>
      </w:pPr>
      <w:r w:rsidRPr="00066497">
        <w:rPr>
          <w:rFonts w:ascii="Arial" w:eastAsia="Calibri" w:hAnsi="Arial" w:cs="Arial"/>
          <w:sz w:val="22"/>
          <w:szCs w:val="22"/>
          <w:lang w:val="en-GB"/>
        </w:rPr>
        <w:t>Organisations currently delivering a project or a service in the local community, that with additional investment, could extend this offer to people with a learning disability or autistic people accessing NHS inpatient or community forensic mental health services.</w:t>
      </w:r>
      <w:r w:rsidR="00D4632C">
        <w:rPr>
          <w:rFonts w:ascii="Arial" w:eastAsia="Calibri" w:hAnsi="Arial" w:cs="Arial"/>
          <w:sz w:val="22"/>
          <w:szCs w:val="22"/>
          <w:lang w:val="en-GB"/>
        </w:rPr>
        <w:t xml:space="preserve"> </w:t>
      </w:r>
      <w:r w:rsidRPr="00066497">
        <w:rPr>
          <w:rFonts w:ascii="Arial" w:eastAsia="Calibri" w:hAnsi="Arial" w:cs="Arial"/>
          <w:sz w:val="22"/>
          <w:szCs w:val="22"/>
          <w:lang w:val="en-GB"/>
        </w:rPr>
        <w:t>This can include organisations working in other neighbouring boroughs to those listed in the table above who would like to extend service provision to North London boroughs.</w:t>
      </w:r>
    </w:p>
    <w:p w14:paraId="33D013FB" w14:textId="77777777" w:rsidR="00321DFC" w:rsidRPr="00066497" w:rsidRDefault="00321DFC" w:rsidP="00321DFC">
      <w:pPr>
        <w:spacing w:after="160" w:line="259" w:lineRule="auto"/>
        <w:ind w:left="360"/>
        <w:contextualSpacing/>
        <w:rPr>
          <w:rFonts w:ascii="Arial" w:eastAsia="Calibri" w:hAnsi="Arial" w:cs="Arial"/>
          <w:sz w:val="22"/>
          <w:szCs w:val="22"/>
          <w:lang w:val="en-GB"/>
        </w:rPr>
      </w:pPr>
    </w:p>
    <w:p w14:paraId="56D3EEB9" w14:textId="77777777" w:rsidR="007537AF" w:rsidRDefault="007537AF" w:rsidP="00321DFC">
      <w:pPr>
        <w:spacing w:after="160" w:line="259" w:lineRule="auto"/>
        <w:rPr>
          <w:rFonts w:ascii="Arial" w:eastAsia="Calibri" w:hAnsi="Arial" w:cs="Arial"/>
          <w:b/>
          <w:bCs/>
          <w:sz w:val="22"/>
          <w:szCs w:val="22"/>
          <w:lang w:val="en-GB"/>
        </w:rPr>
      </w:pPr>
    </w:p>
    <w:p w14:paraId="34077F8A" w14:textId="77777777" w:rsidR="007537AF" w:rsidRDefault="007537AF" w:rsidP="00321DFC">
      <w:pPr>
        <w:spacing w:after="160" w:line="259" w:lineRule="auto"/>
        <w:rPr>
          <w:rFonts w:ascii="Arial" w:eastAsia="Calibri" w:hAnsi="Arial" w:cs="Arial"/>
          <w:b/>
          <w:bCs/>
          <w:sz w:val="22"/>
          <w:szCs w:val="22"/>
          <w:lang w:val="en-GB"/>
        </w:rPr>
      </w:pPr>
    </w:p>
    <w:p w14:paraId="14913E50" w14:textId="77777777" w:rsidR="007537AF" w:rsidRDefault="007537AF" w:rsidP="00321DFC">
      <w:pPr>
        <w:spacing w:after="160" w:line="259" w:lineRule="auto"/>
        <w:rPr>
          <w:rFonts w:ascii="Arial" w:eastAsia="Calibri" w:hAnsi="Arial" w:cs="Arial"/>
          <w:b/>
          <w:bCs/>
          <w:sz w:val="22"/>
          <w:szCs w:val="22"/>
          <w:lang w:val="en-GB"/>
        </w:rPr>
      </w:pPr>
    </w:p>
    <w:p w14:paraId="40EC3397" w14:textId="77777777" w:rsidR="007537AF" w:rsidRDefault="007537AF" w:rsidP="00321DFC">
      <w:pPr>
        <w:spacing w:after="160" w:line="259" w:lineRule="auto"/>
        <w:rPr>
          <w:rFonts w:ascii="Arial" w:eastAsia="Calibri" w:hAnsi="Arial" w:cs="Arial"/>
          <w:b/>
          <w:bCs/>
          <w:sz w:val="22"/>
          <w:szCs w:val="22"/>
          <w:lang w:val="en-GB"/>
        </w:rPr>
      </w:pPr>
    </w:p>
    <w:p w14:paraId="2064DC51" w14:textId="77777777" w:rsidR="007537AF" w:rsidRDefault="007537AF" w:rsidP="00321DFC">
      <w:pPr>
        <w:spacing w:after="160" w:line="259" w:lineRule="auto"/>
        <w:rPr>
          <w:rFonts w:ascii="Arial" w:eastAsia="Calibri" w:hAnsi="Arial" w:cs="Arial"/>
          <w:b/>
          <w:bCs/>
          <w:sz w:val="22"/>
          <w:szCs w:val="22"/>
          <w:lang w:val="en-GB"/>
        </w:rPr>
      </w:pPr>
    </w:p>
    <w:p w14:paraId="2EC6705F" w14:textId="77777777" w:rsidR="007537AF" w:rsidRDefault="007537AF" w:rsidP="00321DFC">
      <w:pPr>
        <w:spacing w:after="160" w:line="259" w:lineRule="auto"/>
        <w:rPr>
          <w:rFonts w:ascii="Arial" w:eastAsia="Calibri" w:hAnsi="Arial" w:cs="Arial"/>
          <w:b/>
          <w:bCs/>
          <w:sz w:val="22"/>
          <w:szCs w:val="22"/>
          <w:lang w:val="en-GB"/>
        </w:rPr>
      </w:pPr>
    </w:p>
    <w:p w14:paraId="509B5FF8" w14:textId="5864D183" w:rsidR="00321DFC" w:rsidRPr="00066497" w:rsidRDefault="00321DFC" w:rsidP="00321DFC">
      <w:pPr>
        <w:spacing w:after="160" w:line="259" w:lineRule="auto"/>
        <w:rPr>
          <w:rFonts w:ascii="Arial" w:eastAsia="Calibri" w:hAnsi="Arial" w:cs="Arial"/>
          <w:b/>
          <w:bCs/>
          <w:sz w:val="22"/>
          <w:szCs w:val="22"/>
          <w:lang w:val="en-GB"/>
        </w:rPr>
      </w:pPr>
      <w:r w:rsidRPr="00066497">
        <w:rPr>
          <w:rFonts w:ascii="Arial" w:eastAsia="Calibri" w:hAnsi="Arial" w:cs="Arial"/>
          <w:b/>
          <w:bCs/>
          <w:sz w:val="22"/>
          <w:szCs w:val="22"/>
          <w:lang w:val="en-GB"/>
        </w:rPr>
        <w:t>What Can the Grant be Used for</w:t>
      </w:r>
    </w:p>
    <w:p w14:paraId="7B272375" w14:textId="0DD1C7ED" w:rsidR="00D4632C" w:rsidRDefault="00321DFC" w:rsidP="007537AF">
      <w:pPr>
        <w:spacing w:after="160" w:line="259" w:lineRule="auto"/>
        <w:rPr>
          <w:rFonts w:ascii="Arial" w:eastAsia="Calibri" w:hAnsi="Arial" w:cs="Arial"/>
          <w:sz w:val="22"/>
          <w:szCs w:val="22"/>
          <w:lang w:val="en-GB"/>
        </w:rPr>
      </w:pPr>
      <w:bookmarkStart w:id="0" w:name="_Hlk168556832"/>
      <w:r w:rsidRPr="00066497">
        <w:rPr>
          <w:rFonts w:ascii="Arial" w:eastAsia="Calibri" w:hAnsi="Arial" w:cs="Arial"/>
          <w:sz w:val="22"/>
          <w:szCs w:val="22"/>
          <w:lang w:val="en-GB"/>
        </w:rPr>
        <w:t xml:space="preserve">Grants can be used for projects that promote skill development or provide meaningful activities, aimed at supporting preparation for discharge or reducing boredom for people whilst in hospital, and improving integration, building social connections, and promoting sustained recovery for people in the </w:t>
      </w:r>
      <w:bookmarkEnd w:id="0"/>
      <w:r w:rsidRPr="00066497">
        <w:rPr>
          <w:rFonts w:ascii="Arial" w:eastAsia="Calibri" w:hAnsi="Arial" w:cs="Arial"/>
          <w:sz w:val="22"/>
          <w:szCs w:val="22"/>
          <w:lang w:val="en-GB"/>
        </w:rPr>
        <w:t>community.</w:t>
      </w:r>
    </w:p>
    <w:p w14:paraId="4BDC8EBE" w14:textId="3C18EEFF" w:rsidR="00321DFC" w:rsidRPr="00066497" w:rsidRDefault="00321DFC" w:rsidP="007537AF">
      <w:pPr>
        <w:rPr>
          <w:rFonts w:ascii="Arial" w:eastAsia="Calibri" w:hAnsi="Arial" w:cs="Arial"/>
          <w:sz w:val="22"/>
          <w:szCs w:val="22"/>
          <w:lang w:val="en-GB"/>
        </w:rPr>
      </w:pPr>
      <w:r w:rsidRPr="00066497">
        <w:rPr>
          <w:rFonts w:ascii="Arial" w:eastAsia="Calibri" w:hAnsi="Arial" w:cs="Arial"/>
          <w:sz w:val="22"/>
          <w:szCs w:val="22"/>
          <w:lang w:val="en-GB"/>
        </w:rPr>
        <w:t>We actively encourage applications for projects that provide meaningful activities focused</w:t>
      </w:r>
      <w:r w:rsidR="007537AF">
        <w:rPr>
          <w:rFonts w:ascii="Arial" w:eastAsia="Calibri" w:hAnsi="Arial" w:cs="Arial"/>
          <w:sz w:val="22"/>
          <w:szCs w:val="22"/>
          <w:lang w:val="en-GB"/>
        </w:rPr>
        <w:t xml:space="preserve"> </w:t>
      </w:r>
      <w:r w:rsidRPr="00066497">
        <w:rPr>
          <w:rFonts w:ascii="Arial" w:eastAsia="Calibri" w:hAnsi="Arial" w:cs="Arial"/>
          <w:sz w:val="22"/>
          <w:szCs w:val="22"/>
          <w:lang w:val="en-GB"/>
        </w:rPr>
        <w:t>on:</w:t>
      </w:r>
    </w:p>
    <w:p w14:paraId="675CE710" w14:textId="6EBBD290" w:rsidR="00321DFC" w:rsidRPr="00066497" w:rsidRDefault="00321DFC" w:rsidP="007537AF">
      <w:pPr>
        <w:numPr>
          <w:ilvl w:val="0"/>
          <w:numId w:val="4"/>
        </w:numPr>
        <w:contextualSpacing/>
        <w:rPr>
          <w:rFonts w:ascii="Arial" w:eastAsia="Calibri" w:hAnsi="Arial" w:cs="Arial"/>
          <w:sz w:val="22"/>
          <w:szCs w:val="22"/>
          <w:lang w:val="en-GB"/>
        </w:rPr>
      </w:pPr>
      <w:r w:rsidRPr="00066497">
        <w:rPr>
          <w:rFonts w:ascii="Arial" w:eastAsia="Calibri" w:hAnsi="Arial" w:cs="Arial"/>
          <w:sz w:val="22"/>
          <w:szCs w:val="22"/>
          <w:lang w:val="en-GB"/>
        </w:rPr>
        <w:t xml:space="preserve">Learning and developing new skills, this includes skills that would support people to gain employment. </w:t>
      </w:r>
    </w:p>
    <w:p w14:paraId="72193B0F" w14:textId="77777777" w:rsidR="00321DFC" w:rsidRPr="00066497" w:rsidRDefault="00321DFC" w:rsidP="007537AF">
      <w:pPr>
        <w:numPr>
          <w:ilvl w:val="0"/>
          <w:numId w:val="4"/>
        </w:numPr>
        <w:contextualSpacing/>
        <w:rPr>
          <w:rFonts w:ascii="Arial" w:eastAsia="Calibri" w:hAnsi="Arial" w:cs="Arial"/>
          <w:sz w:val="22"/>
          <w:szCs w:val="22"/>
          <w:lang w:val="en-GB"/>
        </w:rPr>
      </w:pPr>
      <w:r w:rsidRPr="00066497">
        <w:rPr>
          <w:rFonts w:ascii="Arial" w:eastAsia="Calibri" w:hAnsi="Arial" w:cs="Arial"/>
          <w:sz w:val="22"/>
          <w:szCs w:val="22"/>
          <w:lang w:val="en-GB"/>
        </w:rPr>
        <w:t xml:space="preserve">Building social connections and reducing social isolation </w:t>
      </w:r>
    </w:p>
    <w:p w14:paraId="4CFB9E04" w14:textId="77777777" w:rsidR="00321DFC" w:rsidRPr="00066497" w:rsidRDefault="00321DFC" w:rsidP="007537AF">
      <w:pPr>
        <w:numPr>
          <w:ilvl w:val="0"/>
          <w:numId w:val="4"/>
        </w:numPr>
        <w:contextualSpacing/>
        <w:rPr>
          <w:rFonts w:ascii="Arial" w:eastAsia="Calibri" w:hAnsi="Arial" w:cs="Arial"/>
          <w:sz w:val="22"/>
          <w:szCs w:val="22"/>
          <w:lang w:val="en-GB"/>
        </w:rPr>
      </w:pPr>
      <w:r w:rsidRPr="00066497">
        <w:rPr>
          <w:rFonts w:ascii="Arial" w:eastAsia="Calibri" w:hAnsi="Arial" w:cs="Arial"/>
          <w:sz w:val="22"/>
          <w:szCs w:val="22"/>
          <w:lang w:val="en-GB"/>
        </w:rPr>
        <w:t xml:space="preserve">Improving health and wellbeing </w:t>
      </w:r>
    </w:p>
    <w:p w14:paraId="6BE9EB1F" w14:textId="77777777" w:rsidR="00321DFC" w:rsidRPr="00066497" w:rsidRDefault="00321DFC" w:rsidP="007537AF">
      <w:pPr>
        <w:numPr>
          <w:ilvl w:val="0"/>
          <w:numId w:val="4"/>
        </w:numPr>
        <w:contextualSpacing/>
        <w:rPr>
          <w:rFonts w:ascii="Arial" w:eastAsia="Calibri" w:hAnsi="Arial" w:cs="Arial"/>
          <w:sz w:val="22"/>
          <w:szCs w:val="22"/>
          <w:lang w:val="en-GB"/>
        </w:rPr>
      </w:pPr>
      <w:r w:rsidRPr="00066497">
        <w:rPr>
          <w:rFonts w:ascii="Arial" w:eastAsia="Calibri" w:hAnsi="Arial" w:cs="Arial"/>
          <w:sz w:val="22"/>
          <w:szCs w:val="22"/>
          <w:lang w:val="en-GB"/>
        </w:rPr>
        <w:t>Activities that promote better physical health</w:t>
      </w:r>
    </w:p>
    <w:p w14:paraId="31303D40" w14:textId="77777777" w:rsidR="00C14C9F" w:rsidRDefault="00C14C9F" w:rsidP="00321DFC">
      <w:pPr>
        <w:spacing w:after="160" w:line="259" w:lineRule="auto"/>
        <w:rPr>
          <w:rFonts w:ascii="Arial" w:eastAsia="Calibri" w:hAnsi="Arial" w:cs="Arial"/>
          <w:sz w:val="22"/>
          <w:szCs w:val="22"/>
          <w:lang w:val="en-GB"/>
        </w:rPr>
      </w:pPr>
    </w:p>
    <w:p w14:paraId="32FD21DF" w14:textId="519CF175" w:rsidR="00321DFC" w:rsidRDefault="00321DFC" w:rsidP="00321DFC">
      <w:pPr>
        <w:spacing w:after="160" w:line="259" w:lineRule="auto"/>
        <w:rPr>
          <w:rFonts w:ascii="Calibri" w:eastAsia="Calibri" w:hAnsi="Calibri" w:cs="Calibri"/>
          <w:sz w:val="22"/>
          <w:szCs w:val="22"/>
          <w:lang w:val="en-GB"/>
        </w:rPr>
      </w:pPr>
      <w:r w:rsidRPr="00066497">
        <w:rPr>
          <w:rFonts w:ascii="Arial" w:eastAsia="Calibri" w:hAnsi="Arial" w:cs="Arial"/>
          <w:sz w:val="22"/>
          <w:szCs w:val="22"/>
          <w:lang w:val="en-GB"/>
        </w:rPr>
        <w:t>We are only able to fund projects that are targeted towards people with a learning disability and/or autistic people who are under the care of inpatient and community forensic mental health services.</w:t>
      </w:r>
    </w:p>
    <w:p w14:paraId="5147F9BD" w14:textId="1DCEEA6A" w:rsidR="00321DFC" w:rsidRPr="00066497" w:rsidRDefault="00321DFC" w:rsidP="007537AF">
      <w:pPr>
        <w:rPr>
          <w:rFonts w:ascii="Arial" w:eastAsia="Calibri" w:hAnsi="Arial" w:cs="Arial"/>
          <w:sz w:val="22"/>
          <w:szCs w:val="22"/>
          <w:lang w:val="en-GB"/>
        </w:rPr>
      </w:pPr>
      <w:r w:rsidRPr="00066497">
        <w:rPr>
          <w:rFonts w:ascii="Arial" w:eastAsia="Calibri" w:hAnsi="Arial" w:cs="Arial"/>
          <w:sz w:val="22"/>
          <w:szCs w:val="22"/>
          <w:lang w:val="en-GB"/>
        </w:rPr>
        <w:t xml:space="preserve">Providers should submit applications targeted at people using forensic mental health </w:t>
      </w:r>
      <w:r w:rsidR="00D4632C" w:rsidRPr="00066497">
        <w:rPr>
          <w:rFonts w:ascii="Arial" w:eastAsia="Calibri" w:hAnsi="Arial" w:cs="Arial"/>
          <w:sz w:val="22"/>
          <w:szCs w:val="22"/>
          <w:lang w:val="en-GB"/>
        </w:rPr>
        <w:t>services in</w:t>
      </w:r>
      <w:r w:rsidRPr="00066497">
        <w:rPr>
          <w:rFonts w:ascii="Arial" w:eastAsia="Calibri" w:hAnsi="Arial" w:cs="Arial"/>
          <w:sz w:val="22"/>
          <w:szCs w:val="22"/>
          <w:lang w:val="en-GB"/>
        </w:rPr>
        <w:t xml:space="preserve"> one of the ICS areas that we operate </w:t>
      </w:r>
      <w:r w:rsidR="00BD4905" w:rsidRPr="00066497">
        <w:rPr>
          <w:rFonts w:ascii="Arial" w:eastAsia="Calibri" w:hAnsi="Arial" w:cs="Arial"/>
          <w:sz w:val="22"/>
          <w:szCs w:val="22"/>
          <w:lang w:val="en-GB"/>
        </w:rPr>
        <w:t xml:space="preserve">in. </w:t>
      </w:r>
      <w:r w:rsidRPr="00066497">
        <w:rPr>
          <w:rFonts w:ascii="Arial" w:eastAsia="Calibri" w:hAnsi="Arial" w:cs="Arial"/>
          <w:sz w:val="22"/>
          <w:szCs w:val="22"/>
          <w:lang w:val="en-GB"/>
        </w:rPr>
        <w:t>Due to the scale of the geographical areas covered, we would welcome applications that can provide support with travel, or arrange taxis, with the cost for this included in the application.</w:t>
      </w:r>
    </w:p>
    <w:p w14:paraId="6D429C0D" w14:textId="77777777" w:rsidR="00321DFC" w:rsidRPr="00066497" w:rsidRDefault="00321DFC" w:rsidP="007537AF">
      <w:pPr>
        <w:rPr>
          <w:rFonts w:ascii="Arial" w:eastAsia="Calibri" w:hAnsi="Arial" w:cs="Arial"/>
          <w:b/>
          <w:bCs/>
          <w:sz w:val="22"/>
          <w:szCs w:val="22"/>
          <w:lang w:val="en-GB"/>
        </w:rPr>
      </w:pPr>
    </w:p>
    <w:p w14:paraId="4EB29FF3" w14:textId="77777777" w:rsidR="007537AF" w:rsidRDefault="007537AF" w:rsidP="007537AF">
      <w:pPr>
        <w:rPr>
          <w:rFonts w:ascii="Arial" w:eastAsia="Calibri" w:hAnsi="Arial" w:cs="Arial"/>
          <w:b/>
          <w:bCs/>
          <w:sz w:val="22"/>
          <w:szCs w:val="22"/>
          <w:lang w:val="en-GB"/>
        </w:rPr>
      </w:pPr>
    </w:p>
    <w:p w14:paraId="5144A253" w14:textId="6087A430" w:rsidR="00321DFC" w:rsidRPr="00066497" w:rsidRDefault="00321DFC" w:rsidP="007537AF">
      <w:pPr>
        <w:rPr>
          <w:rFonts w:ascii="Arial" w:eastAsia="Calibri" w:hAnsi="Arial" w:cs="Arial"/>
          <w:b/>
          <w:bCs/>
          <w:sz w:val="22"/>
          <w:szCs w:val="22"/>
          <w:lang w:val="en-GB"/>
        </w:rPr>
      </w:pPr>
      <w:r w:rsidRPr="00066497">
        <w:rPr>
          <w:rFonts w:ascii="Arial" w:eastAsia="Calibri" w:hAnsi="Arial" w:cs="Arial"/>
          <w:b/>
          <w:bCs/>
          <w:sz w:val="22"/>
          <w:szCs w:val="22"/>
          <w:lang w:val="en-GB"/>
        </w:rPr>
        <w:t>Application Timeframe</w:t>
      </w:r>
    </w:p>
    <w:p w14:paraId="191DBFA3" w14:textId="77777777" w:rsidR="007537AF" w:rsidRDefault="007537AF" w:rsidP="007537AF">
      <w:pPr>
        <w:rPr>
          <w:rFonts w:ascii="Arial" w:eastAsia="Calibri" w:hAnsi="Arial" w:cs="Arial"/>
          <w:color w:val="000000"/>
          <w:sz w:val="22"/>
          <w:szCs w:val="22"/>
          <w:lang w:val="en-GB"/>
        </w:rPr>
      </w:pPr>
    </w:p>
    <w:p w14:paraId="51141BC0" w14:textId="35AF174D" w:rsidR="00321DFC" w:rsidRPr="00066497" w:rsidRDefault="00321DFC" w:rsidP="007537AF">
      <w:pPr>
        <w:rPr>
          <w:rFonts w:ascii="Arial" w:eastAsia="Calibri" w:hAnsi="Arial" w:cs="Arial"/>
          <w:color w:val="000000"/>
          <w:sz w:val="22"/>
          <w:szCs w:val="22"/>
          <w:lang w:val="en-GB"/>
        </w:rPr>
      </w:pPr>
      <w:r w:rsidRPr="00066497">
        <w:rPr>
          <w:rFonts w:ascii="Arial" w:eastAsia="Calibri" w:hAnsi="Arial" w:cs="Arial"/>
          <w:color w:val="000000"/>
          <w:sz w:val="22"/>
          <w:szCs w:val="22"/>
          <w:lang w:val="en-GB"/>
        </w:rPr>
        <w:t>Applications for the programme opened on the 26</w:t>
      </w:r>
      <w:r w:rsidRPr="00066497">
        <w:rPr>
          <w:rFonts w:ascii="Arial" w:eastAsia="Calibri" w:hAnsi="Arial" w:cs="Arial"/>
          <w:color w:val="000000"/>
          <w:sz w:val="22"/>
          <w:szCs w:val="22"/>
          <w:vertAlign w:val="superscript"/>
          <w:lang w:val="en-GB"/>
        </w:rPr>
        <w:t>th</w:t>
      </w:r>
      <w:r w:rsidRPr="00066497">
        <w:rPr>
          <w:rFonts w:ascii="Arial" w:eastAsia="Calibri" w:hAnsi="Arial" w:cs="Arial"/>
          <w:color w:val="000000"/>
          <w:sz w:val="22"/>
          <w:szCs w:val="22"/>
          <w:lang w:val="en-GB"/>
        </w:rPr>
        <w:t xml:space="preserve"> of August and will be offered until the 31</w:t>
      </w:r>
      <w:r w:rsidRPr="00066497">
        <w:rPr>
          <w:rFonts w:ascii="Arial" w:eastAsia="Calibri" w:hAnsi="Arial" w:cs="Arial"/>
          <w:color w:val="000000"/>
          <w:sz w:val="22"/>
          <w:szCs w:val="22"/>
          <w:vertAlign w:val="superscript"/>
          <w:lang w:val="en-GB"/>
        </w:rPr>
        <w:t>st</w:t>
      </w:r>
      <w:r w:rsidRPr="00066497">
        <w:rPr>
          <w:rFonts w:ascii="Arial" w:eastAsia="Calibri" w:hAnsi="Arial" w:cs="Arial"/>
          <w:color w:val="000000"/>
          <w:sz w:val="22"/>
          <w:szCs w:val="22"/>
          <w:lang w:val="en-GB"/>
        </w:rPr>
        <w:t xml:space="preserve"> of March 2025, or until the allocated budget is spent. </w:t>
      </w:r>
    </w:p>
    <w:p w14:paraId="0B79672D" w14:textId="77777777" w:rsidR="00321DFC" w:rsidRPr="00066497" w:rsidRDefault="00321DFC" w:rsidP="007537AF">
      <w:pPr>
        <w:rPr>
          <w:rFonts w:ascii="Arial" w:eastAsia="Calibri" w:hAnsi="Arial" w:cs="Arial"/>
          <w:b/>
          <w:bCs/>
          <w:color w:val="000000"/>
          <w:sz w:val="22"/>
          <w:szCs w:val="22"/>
          <w:lang w:val="en-GB"/>
        </w:rPr>
      </w:pPr>
      <w:r w:rsidRPr="00066497">
        <w:rPr>
          <w:rFonts w:ascii="Arial" w:eastAsia="Calibri" w:hAnsi="Arial" w:cs="Arial"/>
          <w:color w:val="000000"/>
          <w:sz w:val="22"/>
          <w:szCs w:val="22"/>
          <w:lang w:val="en-GB"/>
        </w:rPr>
        <w:t>All funding grants must be spent within the 12 months of being awarded.</w:t>
      </w:r>
    </w:p>
    <w:p w14:paraId="3C2DD0C4" w14:textId="77777777" w:rsidR="00C14C9F" w:rsidRDefault="00C14C9F" w:rsidP="007537AF">
      <w:pPr>
        <w:rPr>
          <w:rFonts w:ascii="Arial" w:eastAsia="Calibri" w:hAnsi="Arial" w:cs="Arial"/>
          <w:b/>
          <w:bCs/>
          <w:color w:val="000000"/>
          <w:sz w:val="22"/>
          <w:szCs w:val="22"/>
          <w:lang w:val="en-GB"/>
        </w:rPr>
      </w:pPr>
    </w:p>
    <w:p w14:paraId="67C08A54" w14:textId="77777777" w:rsidR="007537AF" w:rsidRDefault="007537AF" w:rsidP="007537AF">
      <w:pPr>
        <w:rPr>
          <w:rFonts w:ascii="Arial" w:eastAsia="Calibri" w:hAnsi="Arial" w:cs="Arial"/>
          <w:b/>
          <w:bCs/>
          <w:color w:val="000000"/>
          <w:sz w:val="22"/>
          <w:szCs w:val="22"/>
          <w:lang w:val="en-GB"/>
        </w:rPr>
      </w:pPr>
    </w:p>
    <w:p w14:paraId="4B77D555" w14:textId="560A648E" w:rsidR="00321DFC" w:rsidRPr="00066497" w:rsidRDefault="00321DFC" w:rsidP="007537AF">
      <w:pPr>
        <w:rPr>
          <w:rFonts w:ascii="Arial" w:eastAsia="Calibri" w:hAnsi="Arial" w:cs="Arial"/>
          <w:b/>
          <w:bCs/>
          <w:color w:val="000000"/>
          <w:sz w:val="22"/>
          <w:szCs w:val="22"/>
          <w:lang w:val="en-GB"/>
        </w:rPr>
      </w:pPr>
      <w:r w:rsidRPr="00066497">
        <w:rPr>
          <w:rFonts w:ascii="Arial" w:eastAsia="Calibri" w:hAnsi="Arial" w:cs="Arial"/>
          <w:b/>
          <w:bCs/>
          <w:color w:val="000000"/>
          <w:sz w:val="22"/>
          <w:szCs w:val="22"/>
          <w:lang w:val="en-GB"/>
        </w:rPr>
        <w:t>How to Apply</w:t>
      </w:r>
    </w:p>
    <w:p w14:paraId="2E457AFC" w14:textId="77777777" w:rsidR="007537AF" w:rsidRDefault="007537AF" w:rsidP="007537AF">
      <w:pPr>
        <w:rPr>
          <w:rFonts w:ascii="Arial" w:eastAsia="Calibri" w:hAnsi="Arial" w:cs="Arial"/>
          <w:color w:val="000000"/>
          <w:sz w:val="22"/>
          <w:szCs w:val="22"/>
          <w:lang w:val="en-GB"/>
        </w:rPr>
      </w:pPr>
    </w:p>
    <w:p w14:paraId="4F3FE942" w14:textId="320B0BE7" w:rsidR="00321DFC" w:rsidRDefault="00321DFC" w:rsidP="007537AF">
      <w:pPr>
        <w:rPr>
          <w:rFonts w:ascii="Arial" w:eastAsia="Calibri" w:hAnsi="Arial" w:cs="Arial"/>
          <w:color w:val="0563C1"/>
          <w:sz w:val="22"/>
          <w:szCs w:val="22"/>
          <w:u w:val="single"/>
          <w:lang w:val="en-GB"/>
        </w:rPr>
      </w:pPr>
      <w:r w:rsidRPr="00066497">
        <w:rPr>
          <w:rFonts w:ascii="Arial" w:eastAsia="Calibri" w:hAnsi="Arial" w:cs="Arial"/>
          <w:color w:val="000000"/>
          <w:sz w:val="22"/>
          <w:szCs w:val="22"/>
          <w:lang w:val="en-GB"/>
        </w:rPr>
        <w:t xml:space="preserve">To apply for the grant please complete the </w:t>
      </w:r>
      <w:r w:rsidR="007537AF">
        <w:rPr>
          <w:rFonts w:ascii="Arial" w:eastAsia="Calibri" w:hAnsi="Arial" w:cs="Arial"/>
          <w:color w:val="000000"/>
          <w:sz w:val="22"/>
          <w:szCs w:val="22"/>
          <w:lang w:val="en-GB"/>
        </w:rPr>
        <w:t>A</w:t>
      </w:r>
      <w:r w:rsidRPr="00066497">
        <w:rPr>
          <w:rFonts w:ascii="Arial" w:eastAsia="Calibri" w:hAnsi="Arial" w:cs="Arial"/>
          <w:color w:val="000000"/>
          <w:sz w:val="22"/>
          <w:szCs w:val="22"/>
          <w:lang w:val="en-GB"/>
        </w:rPr>
        <w:t xml:space="preserve">pplication </w:t>
      </w:r>
      <w:r w:rsidR="007537AF">
        <w:rPr>
          <w:rFonts w:ascii="Arial" w:eastAsia="Calibri" w:hAnsi="Arial" w:cs="Arial"/>
          <w:color w:val="000000"/>
          <w:sz w:val="22"/>
          <w:szCs w:val="22"/>
          <w:lang w:val="en-GB"/>
        </w:rPr>
        <w:t>F</w:t>
      </w:r>
      <w:r w:rsidRPr="00066497">
        <w:rPr>
          <w:rFonts w:ascii="Arial" w:eastAsia="Calibri" w:hAnsi="Arial" w:cs="Arial"/>
          <w:color w:val="000000"/>
          <w:sz w:val="22"/>
          <w:szCs w:val="22"/>
          <w:lang w:val="en-GB"/>
        </w:rPr>
        <w:t>orm</w:t>
      </w:r>
      <w:r w:rsidR="007537AF">
        <w:rPr>
          <w:rFonts w:ascii="Arial" w:eastAsia="Calibri" w:hAnsi="Arial" w:cs="Arial"/>
          <w:color w:val="000000"/>
          <w:sz w:val="22"/>
          <w:szCs w:val="22"/>
          <w:lang w:val="en-GB"/>
        </w:rPr>
        <w:t xml:space="preserve"> </w:t>
      </w:r>
      <w:r w:rsidRPr="00066497">
        <w:rPr>
          <w:rFonts w:ascii="Arial" w:eastAsia="Calibri" w:hAnsi="Arial" w:cs="Arial"/>
          <w:color w:val="000000"/>
          <w:sz w:val="22"/>
          <w:szCs w:val="22"/>
          <w:lang w:val="en-GB"/>
        </w:rPr>
        <w:t xml:space="preserve">and a </w:t>
      </w:r>
      <w:r w:rsidR="007537AF">
        <w:rPr>
          <w:rFonts w:ascii="Arial" w:eastAsia="Calibri" w:hAnsi="Arial" w:cs="Arial"/>
          <w:color w:val="000000"/>
          <w:sz w:val="22"/>
          <w:szCs w:val="22"/>
          <w:lang w:val="en-GB"/>
        </w:rPr>
        <w:t>N</w:t>
      </w:r>
      <w:r w:rsidRPr="00066497">
        <w:rPr>
          <w:rFonts w:ascii="Arial" w:eastAsia="Calibri" w:hAnsi="Arial" w:cs="Arial"/>
          <w:color w:val="000000"/>
          <w:sz w:val="22"/>
          <w:szCs w:val="22"/>
          <w:lang w:val="en-GB"/>
        </w:rPr>
        <w:t xml:space="preserve">ew </w:t>
      </w:r>
      <w:r w:rsidR="007537AF">
        <w:rPr>
          <w:rFonts w:ascii="Arial" w:eastAsia="Calibri" w:hAnsi="Arial" w:cs="Arial"/>
          <w:color w:val="000000"/>
          <w:sz w:val="22"/>
          <w:szCs w:val="22"/>
          <w:lang w:val="en-GB"/>
        </w:rPr>
        <w:t>S</w:t>
      </w:r>
      <w:r w:rsidR="007537AF" w:rsidRPr="00066497">
        <w:rPr>
          <w:rFonts w:ascii="Arial" w:eastAsia="Calibri" w:hAnsi="Arial" w:cs="Arial"/>
          <w:color w:val="000000"/>
          <w:sz w:val="22"/>
          <w:szCs w:val="22"/>
          <w:lang w:val="en-GB"/>
        </w:rPr>
        <w:t>upplier’s</w:t>
      </w:r>
      <w:r w:rsidRPr="00066497">
        <w:rPr>
          <w:rFonts w:ascii="Arial" w:eastAsia="Calibri" w:hAnsi="Arial" w:cs="Arial"/>
          <w:color w:val="000000"/>
          <w:sz w:val="22"/>
          <w:szCs w:val="22"/>
          <w:lang w:val="en-GB"/>
        </w:rPr>
        <w:t xml:space="preserve"> </w:t>
      </w:r>
      <w:r w:rsidR="007537AF">
        <w:rPr>
          <w:rFonts w:ascii="Arial" w:eastAsia="Calibri" w:hAnsi="Arial" w:cs="Arial"/>
          <w:color w:val="000000"/>
          <w:sz w:val="22"/>
          <w:szCs w:val="22"/>
          <w:lang w:val="en-GB"/>
        </w:rPr>
        <w:t>F</w:t>
      </w:r>
      <w:r w:rsidRPr="00066497">
        <w:rPr>
          <w:rFonts w:ascii="Arial" w:eastAsia="Calibri" w:hAnsi="Arial" w:cs="Arial"/>
          <w:color w:val="000000"/>
          <w:sz w:val="22"/>
          <w:szCs w:val="22"/>
          <w:lang w:val="en-GB"/>
        </w:rPr>
        <w:t xml:space="preserve">orm </w:t>
      </w:r>
      <w:r w:rsidR="007537AF">
        <w:t xml:space="preserve">attached. Please </w:t>
      </w:r>
      <w:r w:rsidR="007537AF">
        <w:rPr>
          <w:rFonts w:ascii="Arial" w:eastAsia="Calibri" w:hAnsi="Arial" w:cs="Arial"/>
          <w:color w:val="000000"/>
          <w:sz w:val="22"/>
          <w:szCs w:val="22"/>
          <w:lang w:val="en-GB"/>
        </w:rPr>
        <w:t>r</w:t>
      </w:r>
      <w:r w:rsidRPr="00066497">
        <w:rPr>
          <w:rFonts w:ascii="Arial" w:eastAsia="Calibri" w:hAnsi="Arial" w:cs="Arial"/>
          <w:color w:val="000000"/>
          <w:sz w:val="22"/>
          <w:szCs w:val="22"/>
          <w:lang w:val="en-GB"/>
        </w:rPr>
        <w:t xml:space="preserve">eturn your completed forms to </w:t>
      </w:r>
      <w:hyperlink r:id="rId10" w:history="1">
        <w:r w:rsidRPr="00066497">
          <w:rPr>
            <w:rFonts w:ascii="Arial" w:eastAsia="Calibri" w:hAnsi="Arial" w:cs="Arial"/>
            <w:color w:val="0563C1"/>
            <w:sz w:val="22"/>
            <w:szCs w:val="22"/>
            <w:u w:val="single"/>
            <w:lang w:val="en-GB"/>
          </w:rPr>
          <w:t>beh-tr.nlfc@nhs.net</w:t>
        </w:r>
      </w:hyperlink>
    </w:p>
    <w:p w14:paraId="6CD479C0" w14:textId="77777777" w:rsidR="00BD4905" w:rsidRPr="00066497" w:rsidRDefault="00BD4905" w:rsidP="007537AF">
      <w:pPr>
        <w:rPr>
          <w:rFonts w:ascii="Arial" w:eastAsia="Calibri" w:hAnsi="Arial" w:cs="Arial"/>
          <w:sz w:val="22"/>
          <w:szCs w:val="22"/>
          <w:lang w:val="en-GB"/>
        </w:rPr>
      </w:pPr>
    </w:p>
    <w:p w14:paraId="6EAB199A" w14:textId="5D41748B" w:rsidR="00C14C9F" w:rsidRPr="007537AF" w:rsidRDefault="00321DFC" w:rsidP="007537AF">
      <w:pPr>
        <w:rPr>
          <w:rFonts w:ascii="Arial" w:eastAsia="Calibri" w:hAnsi="Arial" w:cs="Arial"/>
          <w:color w:val="000000"/>
          <w:sz w:val="22"/>
          <w:szCs w:val="22"/>
          <w:lang w:val="en-GB"/>
        </w:rPr>
      </w:pPr>
      <w:r w:rsidRPr="00066497">
        <w:rPr>
          <w:rFonts w:ascii="Arial" w:eastAsia="Calibri" w:hAnsi="Arial" w:cs="Arial"/>
          <w:color w:val="000000"/>
          <w:sz w:val="22"/>
          <w:szCs w:val="22"/>
          <w:lang w:val="en-GB"/>
        </w:rPr>
        <w:t>Once your application has been received, it will be reviewed by the grant award panel, which meets once per month</w:t>
      </w:r>
      <w:r w:rsidR="00BD4905" w:rsidRPr="00066497">
        <w:rPr>
          <w:rFonts w:ascii="Arial" w:eastAsia="Calibri" w:hAnsi="Arial" w:cs="Arial"/>
          <w:color w:val="000000"/>
          <w:sz w:val="22"/>
          <w:szCs w:val="22"/>
          <w:lang w:val="en-GB"/>
        </w:rPr>
        <w:t xml:space="preserve">. </w:t>
      </w:r>
      <w:r w:rsidRPr="00066497">
        <w:rPr>
          <w:rFonts w:ascii="Arial" w:eastAsia="Calibri" w:hAnsi="Arial" w:cs="Arial"/>
          <w:color w:val="000000"/>
          <w:sz w:val="22"/>
          <w:szCs w:val="22"/>
          <w:lang w:val="en-GB"/>
        </w:rPr>
        <w:t xml:space="preserve">If your application is successful, you will be notified by email and invited to meet with us to agree the terms and conditions of the grant. </w:t>
      </w:r>
    </w:p>
    <w:p w14:paraId="56077D78" w14:textId="77777777" w:rsidR="007537AF" w:rsidRDefault="007537AF" w:rsidP="007537AF">
      <w:pPr>
        <w:rPr>
          <w:rFonts w:ascii="Arial" w:eastAsia="Times New Roman" w:hAnsi="Arial" w:cs="Arial"/>
          <w:b/>
          <w:bCs/>
          <w:sz w:val="22"/>
          <w:szCs w:val="22"/>
          <w:lang w:val="en-GB" w:eastAsia="en-GB"/>
        </w:rPr>
      </w:pPr>
    </w:p>
    <w:p w14:paraId="60CDE656" w14:textId="77777777" w:rsidR="007537AF" w:rsidRDefault="007537AF" w:rsidP="007537AF">
      <w:pPr>
        <w:rPr>
          <w:rFonts w:ascii="Arial" w:eastAsia="Times New Roman" w:hAnsi="Arial" w:cs="Arial"/>
          <w:b/>
          <w:bCs/>
          <w:sz w:val="22"/>
          <w:szCs w:val="22"/>
          <w:lang w:val="en-GB" w:eastAsia="en-GB"/>
        </w:rPr>
      </w:pPr>
    </w:p>
    <w:p w14:paraId="10230F73" w14:textId="786549D2" w:rsidR="00321DFC" w:rsidRPr="00066497" w:rsidRDefault="00321DFC" w:rsidP="007537AF">
      <w:pPr>
        <w:rPr>
          <w:rFonts w:ascii="Arial" w:eastAsia="Times New Roman" w:hAnsi="Arial" w:cs="Arial"/>
          <w:b/>
          <w:bCs/>
          <w:sz w:val="22"/>
          <w:szCs w:val="22"/>
          <w:lang w:val="en-GB" w:eastAsia="en-GB"/>
        </w:rPr>
      </w:pPr>
      <w:r w:rsidRPr="00066497">
        <w:rPr>
          <w:rFonts w:ascii="Arial" w:eastAsia="Times New Roman" w:hAnsi="Arial" w:cs="Arial"/>
          <w:b/>
          <w:bCs/>
          <w:sz w:val="22"/>
          <w:szCs w:val="22"/>
          <w:lang w:val="en-GB" w:eastAsia="en-GB"/>
        </w:rPr>
        <w:t xml:space="preserve">Project Monitoring and Evaluation  </w:t>
      </w:r>
    </w:p>
    <w:p w14:paraId="244C0792" w14:textId="77777777" w:rsidR="007537AF" w:rsidRDefault="007537AF" w:rsidP="007537AF">
      <w:pPr>
        <w:rPr>
          <w:rFonts w:ascii="Arial" w:eastAsia="Times New Roman" w:hAnsi="Arial" w:cs="Arial"/>
          <w:color w:val="000000"/>
          <w:sz w:val="22"/>
          <w:szCs w:val="22"/>
          <w:lang w:val="en-GB" w:eastAsia="en-GB"/>
        </w:rPr>
      </w:pPr>
    </w:p>
    <w:p w14:paraId="2C145B10" w14:textId="3A8BE7E5" w:rsidR="00321DFC" w:rsidRPr="00066497" w:rsidRDefault="00321DFC" w:rsidP="007537AF">
      <w:pPr>
        <w:rPr>
          <w:rFonts w:ascii="Arial" w:eastAsia="Times New Roman" w:hAnsi="Arial" w:cs="Arial"/>
          <w:color w:val="000000"/>
          <w:sz w:val="22"/>
          <w:szCs w:val="22"/>
          <w:lang w:val="en-GB" w:eastAsia="en-GB"/>
        </w:rPr>
      </w:pPr>
      <w:r w:rsidRPr="00066497">
        <w:rPr>
          <w:rFonts w:ascii="Arial" w:eastAsia="Times New Roman" w:hAnsi="Arial" w:cs="Arial"/>
          <w:color w:val="000000"/>
          <w:sz w:val="22"/>
          <w:szCs w:val="22"/>
          <w:lang w:val="en-GB" w:eastAsia="en-GB"/>
        </w:rPr>
        <w:t>Project monitoring to share the progress, outcomes and impact of the project is required at two intervals - mid point and on completion of the project.</w:t>
      </w:r>
    </w:p>
    <w:p w14:paraId="23F635B4" w14:textId="0F822447" w:rsidR="00321DFC" w:rsidRPr="00066497" w:rsidRDefault="00321DFC" w:rsidP="007537AF">
      <w:pPr>
        <w:rPr>
          <w:rFonts w:ascii="Arial" w:eastAsia="Times New Roman" w:hAnsi="Arial" w:cs="Arial"/>
          <w:sz w:val="22"/>
          <w:szCs w:val="22"/>
          <w:lang w:val="en-GB" w:eastAsia="en-GB"/>
        </w:rPr>
      </w:pPr>
      <w:r w:rsidRPr="00066497">
        <w:rPr>
          <w:rFonts w:ascii="Arial" w:eastAsia="Times New Roman" w:hAnsi="Arial" w:cs="Arial"/>
          <w:sz w:val="22"/>
          <w:szCs w:val="22"/>
          <w:lang w:val="en-GB" w:eastAsia="en-GB"/>
        </w:rPr>
        <w:t>All funded organisations will be asked to monitor and report on their funded activities by completing the NLFC Meaningful Activity Grants for Forensic LDA Services Evaluation template</w:t>
      </w:r>
      <w:r w:rsidR="00BD4905" w:rsidRPr="00066497">
        <w:rPr>
          <w:rFonts w:ascii="Arial" w:eastAsia="Times New Roman" w:hAnsi="Arial" w:cs="Arial"/>
          <w:sz w:val="22"/>
          <w:szCs w:val="22"/>
          <w:lang w:val="en-GB" w:eastAsia="en-GB"/>
        </w:rPr>
        <w:t xml:space="preserve">. </w:t>
      </w:r>
      <w:r w:rsidRPr="00066497">
        <w:rPr>
          <w:rFonts w:ascii="Arial" w:eastAsia="Times New Roman" w:hAnsi="Arial" w:cs="Arial"/>
          <w:sz w:val="22"/>
          <w:szCs w:val="22"/>
          <w:lang w:val="en-GB" w:eastAsia="en-GB"/>
        </w:rPr>
        <w:t>This will need to be returned within two weeks of project end date.</w:t>
      </w:r>
    </w:p>
    <w:p w14:paraId="3776F968" w14:textId="77777777" w:rsidR="00321DFC" w:rsidRPr="00066497" w:rsidRDefault="00321DFC" w:rsidP="007537AF">
      <w:pPr>
        <w:rPr>
          <w:rFonts w:ascii="Arial" w:eastAsia="Times New Roman" w:hAnsi="Arial" w:cs="Arial"/>
          <w:b/>
          <w:bCs/>
          <w:color w:val="000000"/>
          <w:sz w:val="22"/>
          <w:szCs w:val="22"/>
          <w:lang w:val="en-GB" w:eastAsia="en-GB"/>
        </w:rPr>
      </w:pPr>
    </w:p>
    <w:p w14:paraId="70B5E1CB" w14:textId="77777777" w:rsidR="00C14C9F" w:rsidRDefault="00C14C9F" w:rsidP="00321DFC">
      <w:pPr>
        <w:rPr>
          <w:rFonts w:ascii="Arial" w:eastAsia="Times New Roman" w:hAnsi="Arial" w:cs="Arial"/>
          <w:b/>
          <w:bCs/>
          <w:color w:val="000000"/>
          <w:sz w:val="22"/>
          <w:szCs w:val="22"/>
          <w:lang w:val="en-GB" w:eastAsia="en-GB"/>
        </w:rPr>
      </w:pPr>
    </w:p>
    <w:p w14:paraId="1998C399" w14:textId="77777777" w:rsidR="00C14C9F" w:rsidRDefault="00C14C9F" w:rsidP="00321DFC">
      <w:pPr>
        <w:rPr>
          <w:rFonts w:ascii="Arial" w:eastAsia="Times New Roman" w:hAnsi="Arial" w:cs="Arial"/>
          <w:b/>
          <w:bCs/>
          <w:color w:val="000000"/>
          <w:sz w:val="22"/>
          <w:szCs w:val="22"/>
          <w:lang w:val="en-GB" w:eastAsia="en-GB"/>
        </w:rPr>
      </w:pPr>
    </w:p>
    <w:p w14:paraId="35FEAA26" w14:textId="77777777" w:rsidR="00C14C9F" w:rsidRDefault="00C14C9F" w:rsidP="00321DFC">
      <w:pPr>
        <w:rPr>
          <w:rFonts w:ascii="Arial" w:eastAsia="Times New Roman" w:hAnsi="Arial" w:cs="Arial"/>
          <w:b/>
          <w:bCs/>
          <w:color w:val="000000"/>
          <w:sz w:val="22"/>
          <w:szCs w:val="22"/>
          <w:lang w:val="en-GB" w:eastAsia="en-GB"/>
        </w:rPr>
      </w:pPr>
    </w:p>
    <w:p w14:paraId="0C5C1C73" w14:textId="23957A90" w:rsidR="00C14C9F" w:rsidRDefault="00C14C9F" w:rsidP="00321DFC">
      <w:pPr>
        <w:rPr>
          <w:rFonts w:ascii="Arial" w:eastAsia="Times New Roman" w:hAnsi="Arial" w:cs="Arial"/>
          <w:b/>
          <w:bCs/>
          <w:color w:val="000000"/>
          <w:sz w:val="22"/>
          <w:szCs w:val="22"/>
          <w:lang w:val="en-GB" w:eastAsia="en-GB"/>
        </w:rPr>
      </w:pPr>
    </w:p>
    <w:p w14:paraId="388BBC8E" w14:textId="63CD700C" w:rsidR="007537AF" w:rsidRDefault="007537AF" w:rsidP="00321DFC">
      <w:pPr>
        <w:rPr>
          <w:rFonts w:ascii="Arial" w:eastAsia="Times New Roman" w:hAnsi="Arial" w:cs="Arial"/>
          <w:b/>
          <w:bCs/>
          <w:color w:val="000000"/>
          <w:sz w:val="22"/>
          <w:szCs w:val="22"/>
          <w:lang w:val="en-GB" w:eastAsia="en-GB"/>
        </w:rPr>
      </w:pPr>
    </w:p>
    <w:p w14:paraId="5B505BBE" w14:textId="34DC6AA1" w:rsidR="007537AF" w:rsidRDefault="007537AF" w:rsidP="00321DFC">
      <w:pPr>
        <w:rPr>
          <w:rFonts w:ascii="Arial" w:eastAsia="Times New Roman" w:hAnsi="Arial" w:cs="Arial"/>
          <w:b/>
          <w:bCs/>
          <w:color w:val="000000"/>
          <w:sz w:val="22"/>
          <w:szCs w:val="22"/>
          <w:lang w:val="en-GB" w:eastAsia="en-GB"/>
        </w:rPr>
      </w:pPr>
    </w:p>
    <w:p w14:paraId="6A4ADB67" w14:textId="06D821D7" w:rsidR="00321DFC" w:rsidRDefault="00321DFC" w:rsidP="00321DFC">
      <w:pPr>
        <w:rPr>
          <w:rFonts w:ascii="Arial" w:eastAsia="Times New Roman" w:hAnsi="Arial" w:cs="Arial"/>
          <w:b/>
          <w:bCs/>
          <w:color w:val="000000"/>
          <w:sz w:val="22"/>
          <w:szCs w:val="22"/>
          <w:lang w:val="en-GB" w:eastAsia="en-GB"/>
        </w:rPr>
      </w:pPr>
      <w:r w:rsidRPr="00066497">
        <w:rPr>
          <w:rFonts w:ascii="Arial" w:eastAsia="Times New Roman" w:hAnsi="Arial" w:cs="Arial"/>
          <w:b/>
          <w:bCs/>
          <w:color w:val="000000"/>
          <w:sz w:val="22"/>
          <w:szCs w:val="22"/>
          <w:lang w:val="en-GB" w:eastAsia="en-GB"/>
        </w:rPr>
        <w:t>Application Limitations</w:t>
      </w:r>
    </w:p>
    <w:p w14:paraId="2C96EFC7" w14:textId="77777777" w:rsidR="007537AF" w:rsidRPr="00066497" w:rsidRDefault="007537AF" w:rsidP="00321DFC">
      <w:pPr>
        <w:rPr>
          <w:rFonts w:ascii="Arial" w:eastAsia="Times New Roman" w:hAnsi="Arial" w:cs="Arial"/>
          <w:b/>
          <w:bCs/>
          <w:color w:val="000000"/>
          <w:sz w:val="22"/>
          <w:szCs w:val="22"/>
          <w:lang w:val="en-GB" w:eastAsia="en-GB"/>
        </w:rPr>
      </w:pPr>
    </w:p>
    <w:p w14:paraId="54CFE957" w14:textId="77777777" w:rsidR="00321DFC" w:rsidRPr="00066497" w:rsidRDefault="00321DFC" w:rsidP="00066497">
      <w:pPr>
        <w:numPr>
          <w:ilvl w:val="0"/>
          <w:numId w:val="3"/>
        </w:numPr>
        <w:ind w:left="714" w:hanging="357"/>
        <w:rPr>
          <w:rFonts w:ascii="Arial" w:eastAsia="Times New Roman" w:hAnsi="Arial" w:cs="Arial"/>
          <w:b/>
          <w:bCs/>
          <w:color w:val="000000"/>
          <w:sz w:val="22"/>
          <w:szCs w:val="22"/>
          <w:lang w:val="en-GB" w:eastAsia="en-GB"/>
        </w:rPr>
      </w:pPr>
      <w:r w:rsidRPr="00066497">
        <w:rPr>
          <w:rFonts w:ascii="Arial" w:eastAsia="Times New Roman" w:hAnsi="Arial" w:cs="Arial"/>
          <w:sz w:val="22"/>
          <w:szCs w:val="22"/>
          <w:lang w:val="en-GB" w:eastAsia="en-GB"/>
        </w:rPr>
        <w:t>Organisations can apply for a grant to the value of £9,999 per annum, which can be in the form of a single grant application or multiple grant applications.</w:t>
      </w:r>
    </w:p>
    <w:p w14:paraId="47379029" w14:textId="066F110E" w:rsidR="00321DFC" w:rsidRPr="00066497" w:rsidRDefault="00321DFC" w:rsidP="00066497">
      <w:pPr>
        <w:numPr>
          <w:ilvl w:val="0"/>
          <w:numId w:val="3"/>
        </w:numPr>
        <w:ind w:left="714" w:hanging="357"/>
        <w:rPr>
          <w:rFonts w:ascii="Arial" w:eastAsia="Times New Roman" w:hAnsi="Arial" w:cs="Arial"/>
          <w:sz w:val="22"/>
          <w:szCs w:val="22"/>
          <w:lang w:val="en-GB" w:eastAsia="en-GB"/>
        </w:rPr>
      </w:pPr>
      <w:r w:rsidRPr="00066497">
        <w:rPr>
          <w:rFonts w:ascii="Arial" w:eastAsia="Times New Roman" w:hAnsi="Arial" w:cs="Arial"/>
          <w:sz w:val="22"/>
          <w:szCs w:val="22"/>
          <w:lang w:val="en-GB" w:eastAsia="en-GB"/>
        </w:rPr>
        <w:t>You will only be able to receive £9,999 in grant funding from the NLFC in a rolling year</w:t>
      </w:r>
      <w:r w:rsidR="00BD4905" w:rsidRPr="00066497">
        <w:rPr>
          <w:rFonts w:ascii="Arial" w:eastAsia="Times New Roman" w:hAnsi="Arial" w:cs="Arial"/>
          <w:sz w:val="22"/>
          <w:szCs w:val="22"/>
          <w:lang w:val="en-GB" w:eastAsia="en-GB"/>
        </w:rPr>
        <w:t xml:space="preserve">. </w:t>
      </w:r>
      <w:r w:rsidRPr="00066497">
        <w:rPr>
          <w:rFonts w:ascii="Arial" w:eastAsia="Times New Roman" w:hAnsi="Arial" w:cs="Arial"/>
          <w:sz w:val="22"/>
          <w:szCs w:val="22"/>
          <w:lang w:val="en-GB" w:eastAsia="en-GB"/>
        </w:rPr>
        <w:t xml:space="preserve">You will not be able to reapply for funding via the </w:t>
      </w:r>
      <w:r w:rsidRPr="00066497">
        <w:rPr>
          <w:rFonts w:ascii="Arial" w:eastAsia="Calibri" w:hAnsi="Arial" w:cs="Arial"/>
          <w:sz w:val="22"/>
          <w:szCs w:val="22"/>
          <w:lang w:val="en-GB"/>
        </w:rPr>
        <w:t>NLFC Meaningful Activity Grants for Forensic LDA Services or the NLFC VCFSE Small Grant Programme until 12 months have lapsed.</w:t>
      </w:r>
    </w:p>
    <w:p w14:paraId="39A261C4" w14:textId="77777777" w:rsidR="00321DFC" w:rsidRPr="00066497" w:rsidRDefault="00321DFC" w:rsidP="00066497">
      <w:pPr>
        <w:numPr>
          <w:ilvl w:val="0"/>
          <w:numId w:val="3"/>
        </w:numPr>
        <w:ind w:left="714" w:hanging="357"/>
        <w:rPr>
          <w:rFonts w:ascii="Arial" w:eastAsia="Times New Roman" w:hAnsi="Arial" w:cs="Arial"/>
          <w:sz w:val="22"/>
          <w:szCs w:val="22"/>
          <w:lang w:val="en-GB" w:eastAsia="en-GB"/>
        </w:rPr>
      </w:pPr>
      <w:r w:rsidRPr="00066497">
        <w:rPr>
          <w:rFonts w:ascii="Arial" w:eastAsia="Times New Roman" w:hAnsi="Arial" w:cs="Arial"/>
          <w:sz w:val="22"/>
          <w:szCs w:val="22"/>
          <w:lang w:val="en-GB" w:eastAsia="en-GB"/>
        </w:rPr>
        <w:t xml:space="preserve">If your application is unsuccessful, following feedback from the panel you will have one more opportunity to resubmit your application. </w:t>
      </w:r>
    </w:p>
    <w:p w14:paraId="098D211F" w14:textId="77777777" w:rsidR="00321DFC" w:rsidRPr="00066497" w:rsidRDefault="00321DFC" w:rsidP="00321DFC">
      <w:pPr>
        <w:rPr>
          <w:rFonts w:ascii="Arial" w:eastAsia="Times New Roman" w:hAnsi="Arial" w:cs="Arial"/>
          <w:sz w:val="22"/>
          <w:szCs w:val="22"/>
          <w:lang w:val="en-GB" w:eastAsia="en-GB"/>
        </w:rPr>
      </w:pPr>
    </w:p>
    <w:p w14:paraId="0C99E05F" w14:textId="77777777" w:rsidR="007537AF" w:rsidRDefault="007537AF" w:rsidP="00321DFC">
      <w:pPr>
        <w:rPr>
          <w:rFonts w:ascii="Arial" w:eastAsia="Times New Roman" w:hAnsi="Arial" w:cs="Arial"/>
          <w:sz w:val="22"/>
          <w:szCs w:val="22"/>
          <w:lang w:val="en-GB" w:eastAsia="en-GB"/>
        </w:rPr>
      </w:pPr>
    </w:p>
    <w:p w14:paraId="258D731F" w14:textId="35796163" w:rsidR="00321DFC" w:rsidRPr="00066497" w:rsidRDefault="00321DFC" w:rsidP="00321DFC">
      <w:pPr>
        <w:rPr>
          <w:rFonts w:ascii="Arial" w:eastAsia="Times New Roman" w:hAnsi="Arial" w:cs="Arial"/>
          <w:sz w:val="22"/>
          <w:szCs w:val="22"/>
          <w:lang w:val="en-GB" w:eastAsia="en-GB"/>
        </w:rPr>
      </w:pPr>
      <w:r w:rsidRPr="00066497">
        <w:rPr>
          <w:rFonts w:ascii="Arial" w:eastAsia="Times New Roman" w:hAnsi="Arial" w:cs="Arial"/>
          <w:sz w:val="22"/>
          <w:szCs w:val="22"/>
          <w:lang w:val="en-GB" w:eastAsia="en-GB"/>
        </w:rPr>
        <w:t>We wish you every success in your application.</w:t>
      </w:r>
    </w:p>
    <w:p w14:paraId="3E863AB6" w14:textId="77777777" w:rsidR="00321DFC" w:rsidRPr="00066497" w:rsidRDefault="00321DFC" w:rsidP="00321DFC">
      <w:pPr>
        <w:rPr>
          <w:rFonts w:ascii="Arial" w:eastAsia="Times New Roman" w:hAnsi="Arial" w:cs="Arial"/>
          <w:color w:val="000000"/>
          <w:sz w:val="22"/>
          <w:szCs w:val="22"/>
          <w:lang w:val="en-GB" w:eastAsia="en-GB"/>
        </w:rPr>
      </w:pPr>
    </w:p>
    <w:p w14:paraId="3E8738C6" w14:textId="5497107F" w:rsidR="00321DFC" w:rsidRPr="00066497" w:rsidRDefault="00321DFC" w:rsidP="00321DFC">
      <w:pPr>
        <w:rPr>
          <w:rFonts w:ascii="Arial" w:eastAsia="Times New Roman" w:hAnsi="Arial" w:cs="Arial"/>
          <w:color w:val="000000"/>
          <w:sz w:val="22"/>
          <w:szCs w:val="22"/>
          <w:lang w:val="en-GB" w:eastAsia="en-GB"/>
        </w:rPr>
      </w:pPr>
      <w:r w:rsidRPr="00066497">
        <w:rPr>
          <w:rFonts w:ascii="Arial" w:eastAsia="Times New Roman" w:hAnsi="Arial" w:cs="Arial"/>
          <w:color w:val="000000"/>
          <w:sz w:val="22"/>
          <w:szCs w:val="22"/>
          <w:lang w:val="en-GB" w:eastAsia="en-GB"/>
        </w:rPr>
        <w:t xml:space="preserve">If you have any queries, or would like support to complete your application, please contact: Serena McCabe, </w:t>
      </w:r>
      <w:r w:rsidR="007537AF">
        <w:rPr>
          <w:rFonts w:ascii="Arial" w:eastAsia="Times New Roman" w:hAnsi="Arial" w:cs="Arial"/>
          <w:color w:val="000000"/>
          <w:sz w:val="22"/>
          <w:szCs w:val="22"/>
          <w:lang w:val="en-GB" w:eastAsia="en-GB"/>
        </w:rPr>
        <w:t xml:space="preserve">NLFC Partnerships Manager, </w:t>
      </w:r>
      <w:r w:rsidRPr="00066497">
        <w:rPr>
          <w:rFonts w:ascii="Arial" w:eastAsia="Times New Roman" w:hAnsi="Arial" w:cs="Arial"/>
          <w:color w:val="000000"/>
          <w:sz w:val="22"/>
          <w:szCs w:val="22"/>
          <w:lang w:val="en-GB" w:eastAsia="en-GB"/>
        </w:rPr>
        <w:t xml:space="preserve">email: </w:t>
      </w:r>
      <w:hyperlink r:id="rId11" w:history="1">
        <w:r w:rsidRPr="00066497">
          <w:rPr>
            <w:rFonts w:ascii="Arial" w:eastAsia="Times New Roman" w:hAnsi="Arial" w:cs="Arial"/>
            <w:color w:val="0563C1"/>
            <w:sz w:val="22"/>
            <w:szCs w:val="22"/>
            <w:u w:val="single"/>
            <w:lang w:val="en-GB" w:eastAsia="en-GB"/>
          </w:rPr>
          <w:t>Serena.mccabe@nhs.net</w:t>
        </w:r>
      </w:hyperlink>
    </w:p>
    <w:p w14:paraId="1A500542" w14:textId="497A6DA9" w:rsidR="00FE6FC2" w:rsidRPr="00C14C9F" w:rsidRDefault="00FE6FC2" w:rsidP="003575CD">
      <w:pPr>
        <w:rPr>
          <w:rFonts w:ascii="Arial" w:hAnsi="Arial" w:cs="Arial"/>
          <w:color w:val="000000"/>
          <w:sz w:val="22"/>
          <w:szCs w:val="22"/>
        </w:rPr>
      </w:pPr>
    </w:p>
    <w:p w14:paraId="43E04036" w14:textId="1EF0D551" w:rsidR="00FE6FC2" w:rsidRPr="00C14C9F" w:rsidRDefault="00FE6FC2" w:rsidP="003575CD">
      <w:pPr>
        <w:rPr>
          <w:rFonts w:ascii="Arial" w:hAnsi="Arial" w:cs="Arial"/>
          <w:color w:val="000000"/>
          <w:sz w:val="22"/>
          <w:szCs w:val="22"/>
        </w:rPr>
      </w:pPr>
    </w:p>
    <w:p w14:paraId="25C13EF9" w14:textId="40A29111" w:rsidR="00FE6FC2" w:rsidRPr="00C14C9F" w:rsidRDefault="00FE6FC2" w:rsidP="003575CD">
      <w:pPr>
        <w:rPr>
          <w:rFonts w:ascii="Arial" w:hAnsi="Arial" w:cs="Arial"/>
          <w:color w:val="000000"/>
          <w:sz w:val="22"/>
          <w:szCs w:val="22"/>
        </w:rPr>
      </w:pPr>
    </w:p>
    <w:p w14:paraId="7EA2F593" w14:textId="0D26E977" w:rsidR="00FE6FC2" w:rsidRPr="00C14C9F" w:rsidRDefault="00FE6FC2" w:rsidP="003575CD">
      <w:pPr>
        <w:rPr>
          <w:rFonts w:ascii="Arial" w:hAnsi="Arial" w:cs="Arial"/>
          <w:color w:val="000000"/>
          <w:sz w:val="22"/>
          <w:szCs w:val="22"/>
        </w:rPr>
      </w:pPr>
    </w:p>
    <w:p w14:paraId="2EFD9F27" w14:textId="6D0E6C26" w:rsidR="00FE6FC2" w:rsidRPr="00C14C9F" w:rsidRDefault="00FE6FC2" w:rsidP="003575CD">
      <w:pPr>
        <w:rPr>
          <w:rFonts w:ascii="Arial" w:hAnsi="Arial" w:cs="Arial"/>
          <w:color w:val="000000"/>
          <w:sz w:val="22"/>
          <w:szCs w:val="22"/>
        </w:rPr>
      </w:pPr>
    </w:p>
    <w:p w14:paraId="78112A34" w14:textId="1F535A26" w:rsidR="00FE6FC2" w:rsidRPr="00C14C9F" w:rsidRDefault="00FE6FC2" w:rsidP="003575CD">
      <w:pPr>
        <w:rPr>
          <w:rFonts w:ascii="Arial" w:hAnsi="Arial" w:cs="Arial"/>
          <w:color w:val="000000"/>
          <w:sz w:val="22"/>
          <w:szCs w:val="22"/>
        </w:rPr>
      </w:pPr>
    </w:p>
    <w:p w14:paraId="4C9E61AC" w14:textId="407597B2" w:rsidR="00FE6FC2" w:rsidRPr="00C14C9F" w:rsidRDefault="00FE6FC2" w:rsidP="003575CD">
      <w:pPr>
        <w:rPr>
          <w:rFonts w:ascii="Arial" w:hAnsi="Arial" w:cs="Arial"/>
          <w:color w:val="000000"/>
          <w:sz w:val="22"/>
          <w:szCs w:val="22"/>
        </w:rPr>
      </w:pPr>
    </w:p>
    <w:p w14:paraId="2B09119B" w14:textId="6472C583" w:rsidR="00FE6FC2" w:rsidRPr="00C14C9F" w:rsidRDefault="00FE6FC2" w:rsidP="003575CD">
      <w:pPr>
        <w:rPr>
          <w:rFonts w:ascii="Arial" w:hAnsi="Arial" w:cs="Arial"/>
          <w:color w:val="000000"/>
          <w:sz w:val="22"/>
          <w:szCs w:val="22"/>
        </w:rPr>
      </w:pPr>
    </w:p>
    <w:p w14:paraId="7D105DA1" w14:textId="4A75A615" w:rsidR="00FE6FC2" w:rsidRPr="00C14C9F" w:rsidRDefault="00FE6FC2" w:rsidP="003575CD">
      <w:pPr>
        <w:rPr>
          <w:rFonts w:ascii="Arial" w:hAnsi="Arial" w:cs="Arial"/>
          <w:color w:val="000000"/>
          <w:sz w:val="22"/>
          <w:szCs w:val="22"/>
        </w:rPr>
      </w:pPr>
    </w:p>
    <w:p w14:paraId="622836E3" w14:textId="493CB598" w:rsidR="00FE6FC2" w:rsidRPr="00C14C9F" w:rsidRDefault="00FE6FC2" w:rsidP="003575CD">
      <w:pPr>
        <w:rPr>
          <w:rFonts w:ascii="Arial" w:hAnsi="Arial" w:cs="Arial"/>
          <w:color w:val="000000"/>
          <w:sz w:val="22"/>
          <w:szCs w:val="22"/>
        </w:rPr>
      </w:pPr>
    </w:p>
    <w:p w14:paraId="526C63E3" w14:textId="1A6E2B36" w:rsidR="00FE6FC2" w:rsidRPr="00C14C9F" w:rsidRDefault="00FE6FC2" w:rsidP="003575CD">
      <w:pPr>
        <w:rPr>
          <w:rFonts w:ascii="Arial" w:hAnsi="Arial" w:cs="Arial"/>
          <w:color w:val="000000"/>
          <w:sz w:val="22"/>
          <w:szCs w:val="22"/>
        </w:rPr>
      </w:pPr>
    </w:p>
    <w:p w14:paraId="3326D08F" w14:textId="5D86C768" w:rsidR="00673A6C" w:rsidRPr="00C14C9F" w:rsidRDefault="00673A6C" w:rsidP="003575CD">
      <w:pPr>
        <w:rPr>
          <w:rFonts w:ascii="Arial" w:hAnsi="Arial" w:cs="Arial"/>
          <w:color w:val="000000"/>
          <w:sz w:val="22"/>
          <w:szCs w:val="22"/>
        </w:rPr>
      </w:pPr>
    </w:p>
    <w:p w14:paraId="28BCCB23" w14:textId="35FC8AC3" w:rsidR="00673A6C" w:rsidRPr="00C14C9F" w:rsidRDefault="00673A6C" w:rsidP="003575CD">
      <w:pPr>
        <w:rPr>
          <w:rFonts w:ascii="Arial" w:hAnsi="Arial" w:cs="Arial"/>
          <w:color w:val="000000"/>
          <w:sz w:val="22"/>
          <w:szCs w:val="22"/>
        </w:rPr>
      </w:pPr>
    </w:p>
    <w:p w14:paraId="6FD89CDD" w14:textId="05185B7A" w:rsidR="00673A6C" w:rsidRPr="00C14C9F" w:rsidRDefault="00673A6C" w:rsidP="003575CD">
      <w:pPr>
        <w:rPr>
          <w:rFonts w:ascii="Arial" w:hAnsi="Arial" w:cs="Arial"/>
          <w:color w:val="000000"/>
          <w:sz w:val="22"/>
          <w:szCs w:val="22"/>
        </w:rPr>
      </w:pPr>
    </w:p>
    <w:p w14:paraId="71F501C7" w14:textId="697A9E82" w:rsidR="00673A6C" w:rsidRPr="00C14C9F" w:rsidRDefault="00673A6C" w:rsidP="003575CD">
      <w:pPr>
        <w:rPr>
          <w:rFonts w:ascii="Arial" w:hAnsi="Arial" w:cs="Arial"/>
          <w:color w:val="000000"/>
          <w:sz w:val="22"/>
          <w:szCs w:val="22"/>
        </w:rPr>
      </w:pPr>
    </w:p>
    <w:p w14:paraId="6CE124E2" w14:textId="390FC33C" w:rsidR="00673A6C" w:rsidRPr="00C14C9F" w:rsidRDefault="00673A6C" w:rsidP="003575CD">
      <w:pPr>
        <w:rPr>
          <w:rFonts w:ascii="Arial" w:hAnsi="Arial" w:cs="Arial"/>
          <w:color w:val="000000"/>
          <w:sz w:val="22"/>
          <w:szCs w:val="22"/>
        </w:rPr>
      </w:pPr>
    </w:p>
    <w:p w14:paraId="168D5A8F" w14:textId="563825D1" w:rsidR="00673A6C" w:rsidRPr="00C14C9F" w:rsidRDefault="00673A6C" w:rsidP="003575CD">
      <w:pPr>
        <w:rPr>
          <w:rFonts w:ascii="Arial" w:hAnsi="Arial" w:cs="Arial"/>
          <w:color w:val="000000"/>
          <w:sz w:val="22"/>
          <w:szCs w:val="22"/>
        </w:rPr>
      </w:pPr>
    </w:p>
    <w:p w14:paraId="3EDBEC4C" w14:textId="14706499" w:rsidR="00C13037" w:rsidRPr="00C14C9F" w:rsidRDefault="00C13037" w:rsidP="003575CD">
      <w:pPr>
        <w:rPr>
          <w:rFonts w:ascii="Arial" w:hAnsi="Arial" w:cs="Arial"/>
          <w:color w:val="000000"/>
          <w:sz w:val="22"/>
          <w:szCs w:val="22"/>
        </w:rPr>
      </w:pPr>
    </w:p>
    <w:p w14:paraId="5627E1D4" w14:textId="041FDE58" w:rsidR="00C13037" w:rsidRPr="00C14C9F" w:rsidRDefault="00C13037" w:rsidP="003575CD">
      <w:pPr>
        <w:rPr>
          <w:rFonts w:ascii="Arial" w:hAnsi="Arial" w:cs="Arial"/>
          <w:color w:val="000000"/>
          <w:sz w:val="22"/>
          <w:szCs w:val="22"/>
        </w:rPr>
      </w:pPr>
    </w:p>
    <w:p w14:paraId="41F3FFB1" w14:textId="17FF2012" w:rsidR="00FE6FC2" w:rsidRPr="00C14C9F" w:rsidRDefault="00FE6FC2" w:rsidP="003575CD">
      <w:pPr>
        <w:rPr>
          <w:rFonts w:ascii="Arial" w:hAnsi="Arial" w:cs="Arial"/>
          <w:color w:val="000000"/>
          <w:sz w:val="22"/>
          <w:szCs w:val="22"/>
        </w:rPr>
      </w:pPr>
    </w:p>
    <w:p w14:paraId="02C207CE" w14:textId="19998A01" w:rsidR="00FE6FC2" w:rsidRPr="00C14C9F" w:rsidRDefault="00FE6FC2" w:rsidP="00FE6FC2">
      <w:pPr>
        <w:rPr>
          <w:rFonts w:ascii="Arial" w:hAnsi="Arial" w:cs="Arial"/>
          <w:color w:val="000000"/>
          <w:sz w:val="22"/>
          <w:szCs w:val="22"/>
        </w:rPr>
      </w:pPr>
    </w:p>
    <w:p w14:paraId="2656AD6F" w14:textId="31F04735" w:rsidR="00C13037" w:rsidRPr="00C14C9F" w:rsidRDefault="00C13037" w:rsidP="00FE6FC2">
      <w:pPr>
        <w:rPr>
          <w:rFonts w:ascii="Arial" w:hAnsi="Arial" w:cs="Arial"/>
          <w:color w:val="000000"/>
          <w:sz w:val="22"/>
          <w:szCs w:val="22"/>
        </w:rPr>
      </w:pPr>
    </w:p>
    <w:p w14:paraId="54B3CE54" w14:textId="77777777" w:rsidR="005E7649" w:rsidRPr="00C14C9F" w:rsidRDefault="005E7649" w:rsidP="00C13037">
      <w:pPr>
        <w:rPr>
          <w:rFonts w:ascii="Arial" w:hAnsi="Arial" w:cs="Arial"/>
          <w:color w:val="000000"/>
          <w:sz w:val="22"/>
          <w:szCs w:val="22"/>
        </w:rPr>
      </w:pPr>
    </w:p>
    <w:p w14:paraId="72F2293D" w14:textId="358DAAAD" w:rsidR="003575CD" w:rsidRPr="00C14C9F" w:rsidRDefault="003575CD" w:rsidP="00C13037">
      <w:pPr>
        <w:tabs>
          <w:tab w:val="right" w:pos="9026"/>
        </w:tabs>
        <w:rPr>
          <w:rFonts w:ascii="Arial" w:hAnsi="Arial" w:cs="Arial"/>
          <w:color w:val="000000"/>
          <w:sz w:val="22"/>
          <w:szCs w:val="22"/>
        </w:rPr>
      </w:pPr>
    </w:p>
    <w:sectPr w:rsidR="003575CD" w:rsidRPr="00C14C9F" w:rsidSect="00E02097">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11C6" w14:textId="77777777" w:rsidR="00B30488" w:rsidRDefault="00B30488" w:rsidP="00500CC2">
      <w:r>
        <w:separator/>
      </w:r>
    </w:p>
  </w:endnote>
  <w:endnote w:type="continuationSeparator" w:id="0">
    <w:p w14:paraId="5D503D6A" w14:textId="77777777" w:rsidR="00B30488" w:rsidRDefault="00B30488" w:rsidP="0050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8B9B" w14:textId="77777777" w:rsidR="00332364" w:rsidRDefault="00332364" w:rsidP="0033236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70C0"/>
        <w:sz w:val="16"/>
        <w:szCs w:val="16"/>
      </w:rPr>
      <w:t> </w:t>
    </w:r>
  </w:p>
  <w:p w14:paraId="1A53A189" w14:textId="77777777" w:rsidR="00332364" w:rsidRDefault="00332364" w:rsidP="0033236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sz w:val="16"/>
        <w:szCs w:val="16"/>
      </w:rPr>
      <w:t>North London Forensic Collaborative Membership</w:t>
    </w:r>
    <w:r>
      <w:rPr>
        <w:rStyle w:val="eop"/>
        <w:rFonts w:ascii="Calibri" w:hAnsi="Calibri" w:cs="Calibri"/>
        <w:color w:val="0070C0"/>
        <w:sz w:val="16"/>
        <w:szCs w:val="16"/>
      </w:rPr>
      <w:t> </w:t>
    </w:r>
  </w:p>
  <w:p w14:paraId="1568D1A6" w14:textId="77777777" w:rsidR="00332364" w:rsidRDefault="00332364" w:rsidP="0033236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Lead Provider - North London NHS Foundation Trust, Central North-West London NHS Foundation Trust, </w:t>
    </w:r>
    <w:r>
      <w:rPr>
        <w:rStyle w:val="eop"/>
        <w:rFonts w:ascii="Calibri" w:hAnsi="Calibri" w:cs="Calibri"/>
        <w:sz w:val="16"/>
        <w:szCs w:val="16"/>
      </w:rPr>
      <w:t> </w:t>
    </w:r>
  </w:p>
  <w:p w14:paraId="713F8EB7" w14:textId="77777777" w:rsidR="00332364" w:rsidRDefault="00332364" w:rsidP="00332364">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East London NHS Foundation Trust, North-East London NHS Foundation Trust, West London NHS Trust.</w:t>
    </w:r>
    <w:r>
      <w:rPr>
        <w:rStyle w:val="eop"/>
        <w:rFonts w:ascii="Calibri" w:hAnsi="Calibri" w:cs="Calibri"/>
        <w:sz w:val="16"/>
        <w:szCs w:val="16"/>
      </w:rPr>
      <w:t> </w:t>
    </w:r>
  </w:p>
  <w:p w14:paraId="79C76FC7" w14:textId="7915129A" w:rsidR="00E02097" w:rsidRDefault="00E02097">
    <w:pPr>
      <w:pStyle w:val="Footer"/>
    </w:pPr>
  </w:p>
  <w:p w14:paraId="627E330A" w14:textId="6529BC41" w:rsidR="00500CC2" w:rsidRPr="00500CC2" w:rsidRDefault="00500CC2" w:rsidP="00500C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D57A" w14:textId="77777777" w:rsidR="00B30488" w:rsidRDefault="00B30488" w:rsidP="00500CC2">
      <w:r>
        <w:separator/>
      </w:r>
    </w:p>
  </w:footnote>
  <w:footnote w:type="continuationSeparator" w:id="0">
    <w:p w14:paraId="3E7F903C" w14:textId="77777777" w:rsidR="00B30488" w:rsidRDefault="00B30488" w:rsidP="0050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DA75" w14:textId="7E984A21" w:rsidR="0069313B" w:rsidRDefault="00FE6FC2" w:rsidP="007214DC">
    <w:pPr>
      <w:pStyle w:val="Header"/>
      <w:jc w:val="right"/>
    </w:pPr>
    <w:r>
      <w:rPr>
        <w:noProof/>
      </w:rPr>
      <w:drawing>
        <wp:anchor distT="0" distB="0" distL="114300" distR="114300" simplePos="0" relativeHeight="251667456" behindDoc="0" locked="0" layoutInCell="1" allowOverlap="1" wp14:anchorId="2E273432" wp14:editId="12D48B16">
          <wp:simplePos x="0" y="0"/>
          <wp:positionH relativeFrom="column">
            <wp:posOffset>2975950</wp:posOffset>
          </wp:positionH>
          <wp:positionV relativeFrom="paragraph">
            <wp:posOffset>-388281</wp:posOffset>
          </wp:positionV>
          <wp:extent cx="3327991" cy="1663996"/>
          <wp:effectExtent l="0" t="0" r="6350" b="0"/>
          <wp:wrapNone/>
          <wp:docPr id="18" name="Picture 18"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27991" cy="16639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FA86623" wp14:editId="55AEA839">
          <wp:simplePos x="0" y="0"/>
          <wp:positionH relativeFrom="column">
            <wp:posOffset>-478627</wp:posOffset>
          </wp:positionH>
          <wp:positionV relativeFrom="paragraph">
            <wp:posOffset>-122614</wp:posOffset>
          </wp:positionV>
          <wp:extent cx="1222168" cy="1170792"/>
          <wp:effectExtent l="0" t="0" r="0" b="0"/>
          <wp:wrapNone/>
          <wp:docPr id="19" name="Picture 19"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han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22168" cy="11707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C1A"/>
    <w:multiLevelType w:val="multilevel"/>
    <w:tmpl w:val="486484B8"/>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A0610"/>
    <w:multiLevelType w:val="hybridMultilevel"/>
    <w:tmpl w:val="771CEF80"/>
    <w:lvl w:ilvl="0" w:tplc="3432E83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E11CD"/>
    <w:multiLevelType w:val="hybridMultilevel"/>
    <w:tmpl w:val="F60CC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661FB"/>
    <w:multiLevelType w:val="hybridMultilevel"/>
    <w:tmpl w:val="3898A80C"/>
    <w:lvl w:ilvl="0" w:tplc="D6840E90">
      <w:numFmt w:val="bullet"/>
      <w:lvlText w:val="-"/>
      <w:lvlJc w:val="left"/>
      <w:pPr>
        <w:ind w:left="1145" w:hanging="360"/>
      </w:pPr>
      <w:rPr>
        <w:rFonts w:ascii="Calibri" w:eastAsiaTheme="minorHAnsi" w:hAnsi="Calibri" w:cs="Calibri" w:hint="default"/>
        <w:b w:val="0"/>
        <w:sz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5FCE215A"/>
    <w:multiLevelType w:val="multilevel"/>
    <w:tmpl w:val="50D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632810">
    <w:abstractNumId w:val="4"/>
  </w:num>
  <w:num w:numId="2" w16cid:durableId="783698770">
    <w:abstractNumId w:val="3"/>
  </w:num>
  <w:num w:numId="3" w16cid:durableId="735855198">
    <w:abstractNumId w:val="0"/>
  </w:num>
  <w:num w:numId="4" w16cid:durableId="1167787250">
    <w:abstractNumId w:val="1"/>
  </w:num>
  <w:num w:numId="5" w16cid:durableId="204081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C2"/>
    <w:rsid w:val="00066497"/>
    <w:rsid w:val="000C4C4C"/>
    <w:rsid w:val="00134323"/>
    <w:rsid w:val="00206AA5"/>
    <w:rsid w:val="0022342E"/>
    <w:rsid w:val="00321DFC"/>
    <w:rsid w:val="00321F97"/>
    <w:rsid w:val="00332364"/>
    <w:rsid w:val="003575CD"/>
    <w:rsid w:val="003F5811"/>
    <w:rsid w:val="004D7267"/>
    <w:rsid w:val="00500CC2"/>
    <w:rsid w:val="005E7649"/>
    <w:rsid w:val="00637EFC"/>
    <w:rsid w:val="00673A6C"/>
    <w:rsid w:val="0069313B"/>
    <w:rsid w:val="007214DC"/>
    <w:rsid w:val="007537AF"/>
    <w:rsid w:val="00792793"/>
    <w:rsid w:val="00796CDE"/>
    <w:rsid w:val="008D3316"/>
    <w:rsid w:val="00A86E3D"/>
    <w:rsid w:val="00B30488"/>
    <w:rsid w:val="00BC2C99"/>
    <w:rsid w:val="00BD4905"/>
    <w:rsid w:val="00C13037"/>
    <w:rsid w:val="00C14C9F"/>
    <w:rsid w:val="00CA028A"/>
    <w:rsid w:val="00CE7601"/>
    <w:rsid w:val="00D4632C"/>
    <w:rsid w:val="00D811D5"/>
    <w:rsid w:val="00D9498F"/>
    <w:rsid w:val="00DF0E4F"/>
    <w:rsid w:val="00E02097"/>
    <w:rsid w:val="00E07DFE"/>
    <w:rsid w:val="00E60498"/>
    <w:rsid w:val="00E901B8"/>
    <w:rsid w:val="00EC3427"/>
    <w:rsid w:val="00F03C89"/>
    <w:rsid w:val="00F97BDF"/>
    <w:rsid w:val="00FA1301"/>
    <w:rsid w:val="00FE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03098"/>
  <w15:chartTrackingRefBased/>
  <w15:docId w15:val="{6D05F2C7-77AA-4E51-83E6-7E9C2C4C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3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CC2"/>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500CC2"/>
  </w:style>
  <w:style w:type="paragraph" w:styleId="Footer">
    <w:name w:val="footer"/>
    <w:basedOn w:val="Normal"/>
    <w:link w:val="FooterChar"/>
    <w:uiPriority w:val="99"/>
    <w:unhideWhenUsed/>
    <w:rsid w:val="00500CC2"/>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500CC2"/>
  </w:style>
  <w:style w:type="character" w:styleId="Hyperlink">
    <w:name w:val="Hyperlink"/>
    <w:basedOn w:val="DefaultParagraphFont"/>
    <w:uiPriority w:val="99"/>
    <w:semiHidden/>
    <w:unhideWhenUsed/>
    <w:rsid w:val="0069313B"/>
    <w:rPr>
      <w:color w:val="0563C1" w:themeColor="hyperlink"/>
      <w:u w:val="single"/>
    </w:rPr>
  </w:style>
  <w:style w:type="paragraph" w:styleId="ListParagraph">
    <w:name w:val="List Paragraph"/>
    <w:basedOn w:val="Normal"/>
    <w:uiPriority w:val="34"/>
    <w:qFormat/>
    <w:rsid w:val="007214DC"/>
    <w:pPr>
      <w:ind w:left="720"/>
      <w:contextualSpacing/>
    </w:pPr>
  </w:style>
  <w:style w:type="paragraph" w:customStyle="1" w:styleId="paragraph">
    <w:name w:val="paragraph"/>
    <w:basedOn w:val="Normal"/>
    <w:rsid w:val="00332364"/>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332364"/>
  </w:style>
  <w:style w:type="character" w:customStyle="1" w:styleId="normaltextrun">
    <w:name w:val="normaltextrun"/>
    <w:basedOn w:val="DefaultParagraphFont"/>
    <w:rsid w:val="00332364"/>
  </w:style>
  <w:style w:type="paragraph" w:styleId="Revision">
    <w:name w:val="Revision"/>
    <w:hidden/>
    <w:uiPriority w:val="99"/>
    <w:semiHidden/>
    <w:rsid w:val="00321DFC"/>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3912">
      <w:bodyDiv w:val="1"/>
      <w:marLeft w:val="0"/>
      <w:marRight w:val="0"/>
      <w:marTop w:val="0"/>
      <w:marBottom w:val="0"/>
      <w:divBdr>
        <w:top w:val="none" w:sz="0" w:space="0" w:color="auto"/>
        <w:left w:val="none" w:sz="0" w:space="0" w:color="auto"/>
        <w:bottom w:val="none" w:sz="0" w:space="0" w:color="auto"/>
        <w:right w:val="none" w:sz="0" w:space="0" w:color="auto"/>
      </w:divBdr>
      <w:divsChild>
        <w:div w:id="1866750456">
          <w:marLeft w:val="0"/>
          <w:marRight w:val="0"/>
          <w:marTop w:val="0"/>
          <w:marBottom w:val="0"/>
          <w:divBdr>
            <w:top w:val="none" w:sz="0" w:space="0" w:color="auto"/>
            <w:left w:val="none" w:sz="0" w:space="0" w:color="auto"/>
            <w:bottom w:val="none" w:sz="0" w:space="0" w:color="auto"/>
            <w:right w:val="none" w:sz="0" w:space="0" w:color="auto"/>
          </w:divBdr>
        </w:div>
        <w:div w:id="256061430">
          <w:marLeft w:val="0"/>
          <w:marRight w:val="0"/>
          <w:marTop w:val="0"/>
          <w:marBottom w:val="0"/>
          <w:divBdr>
            <w:top w:val="none" w:sz="0" w:space="0" w:color="auto"/>
            <w:left w:val="none" w:sz="0" w:space="0" w:color="auto"/>
            <w:bottom w:val="none" w:sz="0" w:space="0" w:color="auto"/>
            <w:right w:val="none" w:sz="0" w:space="0" w:color="auto"/>
          </w:divBdr>
        </w:div>
        <w:div w:id="304429879">
          <w:marLeft w:val="0"/>
          <w:marRight w:val="0"/>
          <w:marTop w:val="0"/>
          <w:marBottom w:val="0"/>
          <w:divBdr>
            <w:top w:val="none" w:sz="0" w:space="0" w:color="auto"/>
            <w:left w:val="none" w:sz="0" w:space="0" w:color="auto"/>
            <w:bottom w:val="none" w:sz="0" w:space="0" w:color="auto"/>
            <w:right w:val="none" w:sz="0" w:space="0" w:color="auto"/>
          </w:divBdr>
        </w:div>
        <w:div w:id="1026054749">
          <w:marLeft w:val="0"/>
          <w:marRight w:val="0"/>
          <w:marTop w:val="0"/>
          <w:marBottom w:val="0"/>
          <w:divBdr>
            <w:top w:val="none" w:sz="0" w:space="0" w:color="auto"/>
            <w:left w:val="none" w:sz="0" w:space="0" w:color="auto"/>
            <w:bottom w:val="none" w:sz="0" w:space="0" w:color="auto"/>
            <w:right w:val="none" w:sz="0" w:space="0" w:color="auto"/>
          </w:divBdr>
        </w:div>
      </w:divsChild>
    </w:div>
    <w:div w:id="16441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ena.mccabe@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eh-tr.nlf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9" ma:contentTypeDescription="Create a new document." ma:contentTypeScope="" ma:versionID="ebb64774a931260b1f614b84f774a8f5">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9a18917a922bb97bc436cb12705a0c43"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7ECB7-57FB-48C8-B15E-F48CD66932D7}">
  <ds:schemaRefs>
    <ds:schemaRef ds:uri="http://schemas.microsoft.com/sharepoint/v3/contenttype/forms"/>
  </ds:schemaRefs>
</ds:datastoreItem>
</file>

<file path=customXml/itemProps2.xml><?xml version="1.0" encoding="utf-8"?>
<ds:datastoreItem xmlns:ds="http://schemas.openxmlformats.org/officeDocument/2006/customXml" ds:itemID="{3D6C7F0D-D40B-4221-A5F8-A9120E54F988}">
  <ds:schemaRefs>
    <ds:schemaRef ds:uri="http://schemas.microsoft.com/office/2006/metadata/properties"/>
    <ds:schemaRef ds:uri="http://schemas.microsoft.com/office/infopath/2007/PartnerControls"/>
    <ds:schemaRef ds:uri="http://schemas.microsoft.com/sharepoint/v3"/>
    <ds:schemaRef ds:uri="9638902f-9714-453a-b186-6018a7a377fd"/>
    <ds:schemaRef ds:uri="b5e561ba-4370-44ba-a750-7e24df9232ca"/>
  </ds:schemaRefs>
</ds:datastoreItem>
</file>

<file path=customXml/itemProps3.xml><?xml version="1.0" encoding="utf-8"?>
<ds:datastoreItem xmlns:ds="http://schemas.openxmlformats.org/officeDocument/2006/customXml" ds:itemID="{6CDE20BC-7A1D-447F-932A-5DCEE8DA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Trask, Anna</dc:creator>
  <cp:keywords/>
  <dc:description/>
  <cp:lastModifiedBy>AVERY, Sarah (BARNET, ENFIELD AND HARINGEY MENTAL HEALTH NHS TRUST)</cp:lastModifiedBy>
  <cp:revision>2</cp:revision>
  <cp:lastPrinted>2023-04-27T11:41:00Z</cp:lastPrinted>
  <dcterms:created xsi:type="dcterms:W3CDTF">2024-08-26T14:44:00Z</dcterms:created>
  <dcterms:modified xsi:type="dcterms:W3CDTF">2024-08-26T14:44:00Z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0x010100D2E73684EE2C4040BD7B6D438CA26D05</vt:lpwstr>
  </property>
</Properties>
</file>